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D1" w:rsidRDefault="00C61BEB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  <w:lang w:bidi="ar-SA"/>
        </w:rPr>
        <w:drawing>
          <wp:inline distT="0" distB="0" distL="0" distR="0">
            <wp:extent cx="5722620" cy="4602480"/>
            <wp:effectExtent l="0" t="0" r="0" b="0"/>
            <wp:docPr id="1" name="Obraz 1" descr="AF3970D6-E779-4380-85B8-7F88A76D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3970D6-E779-4380-85B8-7F88A76D02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154D1" w:rsidRDefault="00B154D1">
      <w:pPr>
        <w:rPr>
          <w:rFonts w:ascii="Times New Roman" w:hAnsi="Times New Roman" w:cs="Times New Roman"/>
          <w:noProof/>
          <w:sz w:val="24"/>
          <w:szCs w:val="24"/>
        </w:rPr>
        <w:sectPr w:rsidR="00B154D1">
          <w:footerReference w:type="default" r:id="rId9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B154D1" w:rsidRDefault="00C61BE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>1.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 xml:space="preserve">WPROWADZENIE 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swoim orędziu o stanie Unii wygłoszonym we wrześniu 2017 r., przewodniczący Juncker wyznaczył cel dla Unii Europejskiej i jej </w:t>
      </w:r>
      <w:r>
        <w:rPr>
          <w:rFonts w:ascii="Times New Roman" w:hAnsi="Times New Roman"/>
          <w:noProof/>
          <w:sz w:val="24"/>
        </w:rPr>
        <w:t>sektorów przemysłu, aby stały się światowym liderem w zakresie innowacji, cyfryzacji i dekarbonizacji. Komisja przyjęła kompleksowe podejście, aby zapewnić odzwierciedlenie tych priorytetów politycznych w polityce UE dotyczącej mobilności. W następstwie eu</w:t>
      </w:r>
      <w:r>
        <w:rPr>
          <w:rFonts w:ascii="Times New Roman" w:hAnsi="Times New Roman"/>
          <w:noProof/>
          <w:sz w:val="24"/>
        </w:rPr>
        <w:t>ropejskiej strategii na rzecz mobilności niskoemisyjnej</w:t>
      </w:r>
      <w:r>
        <w:rPr>
          <w:rStyle w:val="Odwoanieprzypisudolnego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Komisja przyjęła dwa „pakiety dotyczące mobilności” odpowiednio w maju i listopadzie 2017 r.</w:t>
      </w:r>
      <w:r>
        <w:rPr>
          <w:rStyle w:val="Odwoanieprzypisudolnego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Określono w nich pozytywny program działań i zawarto wnioski i inicjatywy ustawodawcze będące realizacją </w:t>
      </w:r>
      <w:r>
        <w:rPr>
          <w:rFonts w:ascii="Times New Roman" w:hAnsi="Times New Roman"/>
          <w:noProof/>
          <w:sz w:val="24"/>
        </w:rPr>
        <w:t>strategii na rzecz mobilności niskoemisyjnej oraz zapewniające sprawne przejście do czystej, konkurencyjnej i połączonej mobilności dla wszystkich. Parlament Europejski i Rada powinny zapewnić szybkie przyjęcie tych wniosków.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Niniejszy trzeci i ostatni pak</w:t>
      </w:r>
      <w:r>
        <w:rPr>
          <w:rFonts w:ascii="Times New Roman" w:hAnsi="Times New Roman"/>
          <w:noProof/>
          <w:sz w:val="24"/>
        </w:rPr>
        <w:t>iet „Europa w ruchu” stanowi realizację nowej strategii dotyczącej polityki przemysłowej z września 2017 r. oraz został opracowany w celu uzupełnienia procesu umożliwiania Europie czerpania pełnych korzyści z modernizacji mobilności</w:t>
      </w:r>
      <w:r>
        <w:rPr>
          <w:rStyle w:val="Odwoanieprzypisudolnego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>. Na potrzeby zrealizow</w:t>
      </w:r>
      <w:r>
        <w:rPr>
          <w:rFonts w:ascii="Times New Roman" w:hAnsi="Times New Roman"/>
          <w:noProof/>
          <w:sz w:val="24"/>
        </w:rPr>
        <w:t>ania tego celu bardzo ważne jest, aby przyszły system mobilności służył wszystkim obywatelom UE w sposób bezpieczny, czysty i sprawny. Konieczne jest wykorzystanie możliwości nowych technologii, aby zrealizować kilka celi jednocześnie – sprawić, by mobilno</w:t>
      </w:r>
      <w:r>
        <w:rPr>
          <w:rFonts w:ascii="Times New Roman" w:hAnsi="Times New Roman"/>
          <w:noProof/>
          <w:sz w:val="24"/>
        </w:rPr>
        <w:t>ść europejska była bezpieczniejsza i bardziej dostępna, przemysł europejski bardziej konkurencyjny, europejskie miejsca pracy były bardziej bezpieczne i aby mobilność była czystsza i lepiej dostosowana do konieczności przeciwdziałania zmianie klimatu. Będz</w:t>
      </w:r>
      <w:r>
        <w:rPr>
          <w:rFonts w:ascii="Times New Roman" w:hAnsi="Times New Roman"/>
          <w:noProof/>
          <w:sz w:val="24"/>
        </w:rPr>
        <w:t>ie to wymagać pełnego zaangażowania ze strony UE, państw członkowskich i zainteresowanych stron.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Rozwój technologiczny wpływa na wszystkie sfery społeczeństwa i gospodarki oraz zmienia życie obywateli Unii. Transport nie stanowi wyjątku od tej tendencji. N</w:t>
      </w:r>
      <w:r>
        <w:rPr>
          <w:rFonts w:ascii="Times New Roman" w:hAnsi="Times New Roman"/>
          <w:noProof/>
          <w:sz w:val="24"/>
        </w:rPr>
        <w:t>owe technologie drastycznie zmieniają krajobraz mobilności. Zakłócają one modele biznesowe transportu konwencjonalnego oraz konwencjonalny przemysł transportowy, dostarczając nowych możliwości w formie nowych usług w zakresie mobilności i nowych podmiotów,</w:t>
      </w:r>
      <w:r>
        <w:rPr>
          <w:rFonts w:ascii="Times New Roman" w:hAnsi="Times New Roman"/>
          <w:noProof/>
          <w:sz w:val="24"/>
        </w:rPr>
        <w:t xml:space="preserve"> ale również stawiając wyzwania. Rynek pracy i wymagane umiejętności ulegają szybkim zmianom, a UE musi pozostać konkurencyjna w obliczu intensywnej konkurencji na świecie. Ponieważ łańcuch wartości w branży motoryzacyjnej i transportowej obejmuje 12 mln m</w:t>
      </w:r>
      <w:r>
        <w:rPr>
          <w:rFonts w:ascii="Times New Roman" w:hAnsi="Times New Roman"/>
          <w:noProof/>
          <w:sz w:val="24"/>
        </w:rPr>
        <w:t>iejsc pracy, a skuteczny system transportowy ma kluczowe znaczenie dla konkurencyjności UE, przystosowanie się do zmian ma nadrzędne znaczenie dla polityki mobilności UE.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Samo pojęcie transportu ulega przekształceniu, a tradycyjne granice między pojazdem, </w:t>
      </w:r>
      <w:r>
        <w:rPr>
          <w:rFonts w:ascii="Times New Roman" w:hAnsi="Times New Roman"/>
          <w:noProof/>
          <w:sz w:val="24"/>
        </w:rPr>
        <w:t>infrastrukturą i użytkownikiem stają się coraz mniej wyraźne. Obecnie środki transportu nie znajdują się w centrum uwagi, w dużej mierze z powodu zwiększonej łączności i automatyzacji – to użytkownik w coraz większym stopniu znajduje się w centrum znacznie</w:t>
      </w:r>
      <w:r>
        <w:rPr>
          <w:rFonts w:ascii="Times New Roman" w:hAnsi="Times New Roman"/>
          <w:noProof/>
          <w:sz w:val="24"/>
        </w:rPr>
        <w:t xml:space="preserve"> elastyczniejszego i bardziej zintegrowanego systemu mobilności. 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Pojawienie się na rynku coraz bardziej zautomatyzowanych i połączonych pojazdów jest kolejnym krokiem w transporcie, który zrewolucjonizuje sposób, w jaki obywatele będą korzystali z mobilno</w:t>
      </w:r>
      <w:r>
        <w:rPr>
          <w:rFonts w:ascii="Times New Roman" w:hAnsi="Times New Roman"/>
          <w:noProof/>
          <w:sz w:val="24"/>
        </w:rPr>
        <w:t xml:space="preserve">ści w przyszłości. Rewolucja ta już się rozpoczęła, a Europa musi być na nią gotowa. Technologie cyfrowe zmuszają do zmian, ale pomagają również w sprostaniu wyzwaniom, przed jakimi stoi obecny system mobilności. Przy założeniu obowiązywania </w:t>
      </w:r>
      <w:r>
        <w:rPr>
          <w:rFonts w:ascii="Times New Roman" w:hAnsi="Times New Roman"/>
          <w:noProof/>
          <w:sz w:val="24"/>
        </w:rPr>
        <w:lastRenderedPageBreak/>
        <w:t xml:space="preserve">solidnych ram </w:t>
      </w:r>
      <w:r>
        <w:rPr>
          <w:rFonts w:ascii="Times New Roman" w:hAnsi="Times New Roman"/>
          <w:noProof/>
          <w:sz w:val="24"/>
        </w:rPr>
        <w:t>regulacyjnych, dzięki pojazdom zautomatyzowanym oraz zaawansowanym systemom łączności pojazdy będą bezpieczniejsze, łatwiejsze do współdzielenia i bardziej dostępne dla wszystkich obywateli, w tym tych, którzy obecnie mogą być odcięci od usług w zakresie m</w:t>
      </w:r>
      <w:r>
        <w:rPr>
          <w:rFonts w:ascii="Times New Roman" w:hAnsi="Times New Roman"/>
          <w:noProof/>
          <w:sz w:val="24"/>
        </w:rPr>
        <w:t>obilności, np. osób starszych i niepełnosprawnych. Pojazdy te mogą zmniejszyć zagęszczenie ruchu, tym samym zwiększając efektywność energetyczną i poprawiając jakość powietrza, ponadto przyczyniając się do walki ze zmianą klimatu. Polityki UE należy opraco</w:t>
      </w:r>
      <w:r>
        <w:rPr>
          <w:rFonts w:ascii="Times New Roman" w:hAnsi="Times New Roman"/>
          <w:noProof/>
          <w:sz w:val="24"/>
        </w:rPr>
        <w:t xml:space="preserve">wać w taki sposób, aby dawały możliwość wykorzystania tych dodatkowych korzyści, oraz właściwe je koordynować. 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Europa musi być liderem tej transformacji systemu mobilności, a UE musi podjąć działania w obszarach, w których może dokonać rzeczywistych zmian</w:t>
      </w:r>
      <w:r>
        <w:rPr>
          <w:rFonts w:ascii="Times New Roman" w:hAnsi="Times New Roman"/>
          <w:noProof/>
          <w:sz w:val="24"/>
        </w:rPr>
        <w:t>. UE jest w najlepszej pozycji do zapewnienia, aby zmiany te odpowiadały na potrzeby gospodarki o obiegu zamkniętym; aby w pełni wykorzystać korzyści społeczne, takie jak bezpieczeństwo i jakość życia; pobudzić innowacje, zatrudnienie i konkurencyjność; or</w:t>
      </w:r>
      <w:r>
        <w:rPr>
          <w:rFonts w:ascii="Times New Roman" w:hAnsi="Times New Roman"/>
          <w:noProof/>
          <w:sz w:val="24"/>
        </w:rPr>
        <w:t>az zmaksymalizować korzyści dla mobilności obywateli na skalę europejską.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BEZPIECZNA MOBILNOŚĆ: Bezpieczeństwo na pierwszym miejscu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Bezpieczeństwo odgrywa kluczową rolę w każdym systemie transportowym; zawsze musi stanowić najwyższy priorytet. Ponieważ mobilność stale się rozwija i ulega drastycznemu przekształceniu ze względu na cyfryzację, obniżenie emisyjności i innowacje, konieczne</w:t>
      </w:r>
      <w:r>
        <w:rPr>
          <w:rFonts w:ascii="Times New Roman" w:hAnsi="Times New Roman"/>
          <w:noProof/>
          <w:sz w:val="24"/>
        </w:rPr>
        <w:t xml:space="preserve"> jest wykorzystanie szans dalszej poprawy stanu bezpieczeństwa. 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Dane dotyczące bezpieczeństwa na unijnych drogach są bardzo dobre i wypadają korzystnie w porównaniu z innymi częściami świata. Ponieważ jednak nadal każdego dnia dochodzi do dużej liczby ofi</w:t>
      </w:r>
      <w:r>
        <w:rPr>
          <w:rFonts w:ascii="Times New Roman" w:hAnsi="Times New Roman"/>
          <w:noProof/>
          <w:sz w:val="24"/>
        </w:rPr>
        <w:t>ar śmiertelnych i poważnych urazów, UE i państwa członkowskie nie mogą popaść w samozadowolenie i muszą w dalszym ciągu dążyć do zmniejszania liczby ofiar. W oświadczeniu z Valletty z marca 2017 r. w sprawie bezpieczeństwa ruchu drogowego krajowe rządy pań</w:t>
      </w:r>
      <w:r>
        <w:rPr>
          <w:rFonts w:ascii="Times New Roman" w:hAnsi="Times New Roman"/>
          <w:noProof/>
          <w:sz w:val="24"/>
        </w:rPr>
        <w:t>stw członkowskich UE zobowiązały się do dalszego zmniejszenia liczby ofiar śmiertelnych i poważnych urazów w wyniku wypadków drogowych oraz zwróciły się do Komisji, aby koordynowała działania na poziomie UE. Wezwały Komisję do „opracowania nowych ram polit</w:t>
      </w:r>
      <w:r>
        <w:rPr>
          <w:rFonts w:ascii="Times New Roman" w:hAnsi="Times New Roman"/>
          <w:noProof/>
          <w:sz w:val="24"/>
        </w:rPr>
        <w:t>yki bezpieczeństwa ruchu drogowego na kolejną dekadę po 2020 r., obejmujących ocenę poziomu bezpieczeństwa ruchu drogowego z uwzględnieniem celów i założeń określonych w niniejszym oświadczeniu”. Państwa członkowskie zobowiązały się do wyznaczenia celu w p</w:t>
      </w:r>
      <w:r>
        <w:rPr>
          <w:rFonts w:ascii="Times New Roman" w:hAnsi="Times New Roman"/>
          <w:noProof/>
          <w:sz w:val="24"/>
        </w:rPr>
        <w:t>ostaci zmniejszenia o połowę liczby ofiar odnoszących poważne obrażenia w UE do 2030 r. w porównaniu z poziomem z 2020 r.</w:t>
      </w:r>
      <w:r>
        <w:rPr>
          <w:rStyle w:val="Odwoanieprzypisudolnego"/>
          <w:noProof/>
        </w:rPr>
        <w:t xml:space="preserve"> </w:t>
      </w:r>
      <w:r>
        <w:rPr>
          <w:rStyle w:val="Odwoanieprzypisudolnego"/>
          <w:noProof/>
          <w:sz w:val="24"/>
        </w:rPr>
        <w:footnoteReference w:id="4"/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Dzięki działaniom na poziomie unijnym, krajowym, regionalnym i lokalnym w ostatnich dziesięcioleciach znacznie zwiększyło się bezpie</w:t>
      </w:r>
      <w:r>
        <w:rPr>
          <w:rFonts w:ascii="Times New Roman" w:hAnsi="Times New Roman"/>
          <w:noProof/>
          <w:sz w:val="24"/>
        </w:rPr>
        <w:t xml:space="preserve">czeństwo ruchu drogowego w UE. W latach 2001–2010 liczba śmiertelnych ofiar wypadków drogowych w UE zmniejszyła się o 43 %, a w latach 2010–2017 – o kolejne 20 %. W 2017 r. nadal jednak na unijnych drogach straciło życie 25 300 osób, co odpowiada około 70 </w:t>
      </w:r>
      <w:r>
        <w:rPr>
          <w:rFonts w:ascii="Times New Roman" w:hAnsi="Times New Roman"/>
          <w:noProof/>
          <w:sz w:val="24"/>
        </w:rPr>
        <w:t>śmiertelnym ofiarom dziennie, a około 135 000 osób doznało poważnych urazów, w tym wysoki odsetek pieszych, rowerzystów i motocyklistów. Stanowi to niedopuszczalny koszt humanitarny i społeczny. Pod względem finansowym roczny koszt związany z ofiarami śmie</w:t>
      </w:r>
      <w:r>
        <w:rPr>
          <w:rFonts w:ascii="Times New Roman" w:hAnsi="Times New Roman"/>
          <w:noProof/>
          <w:sz w:val="24"/>
        </w:rPr>
        <w:t xml:space="preserve">rtelnymi i poważnymi urazami będącymi wynikiem wypadków drogowych oszacowano na ponad 120 mld EUR, co stanowi równowartość około 1 % unijnego PKB. 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Mimo że niektóre państwa członkowskie nadal czynią znaczne postępy w zmniejszaniu wskaźnika śmiertelności wy</w:t>
      </w:r>
      <w:r>
        <w:rPr>
          <w:rFonts w:ascii="Times New Roman" w:hAnsi="Times New Roman"/>
          <w:noProof/>
          <w:sz w:val="24"/>
        </w:rPr>
        <w:t>padków drogowych, w ostatnich latach postęp w UE rozumianej jako całość uległ zatrzymaniu. Chociaż w 2016 r. i 2017 r. nastąpił spadek ofiar śmiertelnych o około 2 %, niektóre państwa członkowskie odnotowały wzrost. Zrealizowanie celu UE w postaci zmniejsz</w:t>
      </w:r>
      <w:r>
        <w:rPr>
          <w:rFonts w:ascii="Times New Roman" w:hAnsi="Times New Roman"/>
          <w:noProof/>
          <w:sz w:val="24"/>
        </w:rPr>
        <w:t>enia o połowę liczby śmiertelnych ofiar wypadków drogowych w latach 2010–2020 będzie stanowić duże wyzwanie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 xml:space="preserve">. 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Istotne czynniki mające wpływ na wypadki drogowe to prędkość, kierowanie pojazdem pod wpływem alkoholu lub narkotyków oraz niezapinanie pasów </w:t>
      </w:r>
      <w:r>
        <w:rPr>
          <w:rFonts w:ascii="Times New Roman" w:hAnsi="Times New Roman"/>
          <w:noProof/>
          <w:sz w:val="24"/>
        </w:rPr>
        <w:t>bezpieczeństwa lub niezakładanie kasków. Oprócz tego wraz z coraz powszechniejszym zjawiskiem rozpraszania uwagi przez urządzenia przenośne w złożonym otoczeniu pojawiają się nowe tendencje wymagające elastycznego i dynamicznego podejścia. Należy zwrócić s</w:t>
      </w:r>
      <w:r>
        <w:rPr>
          <w:rFonts w:ascii="Times New Roman" w:hAnsi="Times New Roman"/>
          <w:noProof/>
          <w:sz w:val="24"/>
        </w:rPr>
        <w:t>zczególną uwagę na niechronionych użytkowników drogi, zwłaszcza pieszych i rowerzystów, ze względu na wzrost ich udziału w liczbie zgonów i poważnych urazów. Oczekiwany wzrost tych form zrównoważonej mobilności, takich jak jazda na rowerze, podkreśla pilną</w:t>
      </w:r>
      <w:r>
        <w:rPr>
          <w:rFonts w:ascii="Times New Roman" w:hAnsi="Times New Roman"/>
          <w:noProof/>
          <w:sz w:val="24"/>
        </w:rPr>
        <w:t xml:space="preserve"> potrzebę opracowania szczególnych środków, aby zwiększyć ochronę tych użytkowników drogi.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Osiągnięcia technologiczne, przede wszystkim w obszarze łączności i automatyzacji, stwarzają nowe możliwości, aby wyeliminować lub skompensować ludzkie błędy, a prze</w:t>
      </w:r>
      <w:r>
        <w:rPr>
          <w:rFonts w:ascii="Times New Roman" w:hAnsi="Times New Roman"/>
          <w:noProof/>
          <w:sz w:val="24"/>
        </w:rPr>
        <w:t>jście na pojazdy autonomiczne powinno w dłuższej perspektywie zapewnić obywatelom większe bezpieczeństwo. Na etapie przejściowym pojawiają się jednak nowe zagrożenia, związane m.in. z funkcjonowaniem pojazdów wysoce zautomatyzowanych w ruchu mieszanym oraz</w:t>
      </w:r>
      <w:r>
        <w:rPr>
          <w:rFonts w:ascii="Times New Roman" w:hAnsi="Times New Roman"/>
          <w:noProof/>
          <w:sz w:val="24"/>
        </w:rPr>
        <w:t xml:space="preserve"> ze złożoną interakcją między kierowcą i pojazdem (interfejs człowiek-maszyna), jak również z kwestiami cyberbezpieczeństwa. Inne wyzwania będą wynikać ze zmian demograficznych i różnych podejść do mobilności osobistej.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Należy również lepiej wykorzystać sy</w:t>
      </w:r>
      <w:r>
        <w:rPr>
          <w:rFonts w:ascii="Times New Roman" w:hAnsi="Times New Roman"/>
          <w:noProof/>
          <w:sz w:val="24"/>
        </w:rPr>
        <w:t>nergie między środkami bezpieczeństwa i środkami na rzecz zrównoważenia środowiskowego. Na przykład, zachęcając do korzystania z bezemisyjnych rodzajów transportu należy jednocześnie zapewnić bezpieczniejsze otoczenie dla pieszych i rowerzystów. Nowym i be</w:t>
      </w:r>
      <w:r>
        <w:rPr>
          <w:rFonts w:ascii="Times New Roman" w:hAnsi="Times New Roman"/>
          <w:noProof/>
          <w:sz w:val="24"/>
        </w:rPr>
        <w:t>zpieczniejszym formom mobilności może również towarzyszyć zwiększony dostęp do mobilności dla wszystkich obywateli, w szczególności dla osób niepełnosprawnych i dla osób starszych, których odsetek zwiększa się.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Jest to dowód na to, że potrzebne jest wzmocn</w:t>
      </w:r>
      <w:r>
        <w:rPr>
          <w:rFonts w:ascii="Times New Roman" w:hAnsi="Times New Roman"/>
          <w:noProof/>
          <w:sz w:val="24"/>
        </w:rPr>
        <w:t>ione podejście do wdrażania unijnej polityki dotyczącej bezpieczeństwa ruchu drogowego i pojazdów, ze szczególnym naciskiem na skutki i wyniki, w wystarczającym stopniu elastyczne, aby stale dostosowywać się do zmieniających się okoliczności oraz sprzyjają</w:t>
      </w:r>
      <w:r>
        <w:rPr>
          <w:rFonts w:ascii="Times New Roman" w:hAnsi="Times New Roman"/>
          <w:noProof/>
          <w:sz w:val="24"/>
        </w:rPr>
        <w:t>ce włączeniu społecznemu.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Długoterminowym celem UE pozostanie osiągnięcie prawie zerowej liczby ofiar śmiertelnych w transporcie drogowym do 2050 r. („wizja zero”). Należy dążyć do osiągnięcia tego samego celu w przypadku poważnych urazów. UE będzie równie</w:t>
      </w:r>
      <w:r>
        <w:rPr>
          <w:rFonts w:ascii="Times New Roman" w:hAnsi="Times New Roman"/>
          <w:noProof/>
          <w:sz w:val="24"/>
        </w:rPr>
        <w:t>ż realizować nowe cele pośrednie, tak aby w latach 2020–2030 zmniejszyć liczbę śmiertelnych wypadków na drogach o 50 %, jak również zmniejszyć w tym samym okresie liczbę poważnych urazów o 50 % (stosując nową, wspólną definicję poważnego urazu uzgodnioną z</w:t>
      </w:r>
      <w:r>
        <w:rPr>
          <w:rFonts w:ascii="Times New Roman" w:hAnsi="Times New Roman"/>
          <w:noProof/>
          <w:sz w:val="24"/>
        </w:rPr>
        <w:t> wszystkimi państwami członkowskimi)</w:t>
      </w:r>
      <w:r>
        <w:rPr>
          <w:rStyle w:val="Odwoanieprzypisudolnego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>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Aby pomóc w realizacji tych celów, Komisja przedstawia propozycję wspólnych ram dotyczących bezpieczeństwa ruchu drogowego na lata 2021–2030, którym towarzyszy plan działania (załącznik 1), który zostanie bardziej szc</w:t>
      </w:r>
      <w:r>
        <w:rPr>
          <w:rFonts w:ascii="Times New Roman" w:hAnsi="Times New Roman"/>
          <w:noProof/>
          <w:sz w:val="24"/>
        </w:rPr>
        <w:t>zegółowo opracowany we współpracy z państwami członkowskimi do połowy 2019 r. Wspólne ramy bezpieczeństwa ruchu drogowego należy wdrażać, stosując podejście oparte na „bezpiecznym systemie”, zalecane na skalę ogólnoświatową przez Światową Organizację Zdrow</w:t>
      </w:r>
      <w:r>
        <w:rPr>
          <w:rFonts w:ascii="Times New Roman" w:hAnsi="Times New Roman"/>
          <w:noProof/>
          <w:sz w:val="24"/>
        </w:rPr>
        <w:t>ia i w coraz większym stopniu przyjmowane przez państwa członkowskie, regiony i gminy UE. Nadrzędnym celem tych ram jest wyeliminowanie przyczyn wypadków w sposób zintegrowany, tworząc warstwy ochrony, które zapewnią, że jeśli jeden element zawiedzie, inny</w:t>
      </w:r>
      <w:r>
        <w:rPr>
          <w:rFonts w:ascii="Times New Roman" w:hAnsi="Times New Roman"/>
          <w:noProof/>
          <w:sz w:val="24"/>
        </w:rPr>
        <w:t xml:space="preserve"> to zrównoważy. </w:t>
      </w:r>
    </w:p>
    <w:p w:rsidR="00B154D1" w:rsidRDefault="00C6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/>
          <w:noProof/>
        </w:rPr>
        <w:t xml:space="preserve">Zgodnie z podejściem opartym na „bezpiecznym systemie” śmierć i poważne obrażenia w wypadkach drogowych nie są nieuniknioną ceną za mobilność. Wypadki będą nadal występować, ale śmierci i poważnym obrażeniom można w dużej mierze zapobiec. </w:t>
      </w:r>
      <w:r>
        <w:rPr>
          <w:rFonts w:ascii="Times New Roman" w:hAnsi="Times New Roman"/>
          <w:noProof/>
        </w:rPr>
        <w:t xml:space="preserve">„Bezpieczny system” zakłada, że ludzie popełniają błędy i dąży do tego, aby błędy te nie powodowały ofiar śmiertelnych ani poważnych obrażeń. </w:t>
      </w:r>
    </w:p>
    <w:p w:rsidR="00B154D1" w:rsidRDefault="00C61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/>
          <w:noProof/>
        </w:rPr>
        <w:t xml:space="preserve">Na przykład lepsza konstrukcja pojazdów, lepsza infrastruktura drogowa oraz niższe prędkości mogą przyczynić się </w:t>
      </w:r>
      <w:r>
        <w:rPr>
          <w:rFonts w:ascii="Times New Roman" w:hAnsi="Times New Roman"/>
          <w:noProof/>
        </w:rPr>
        <w:t>do zmniejszenia skutków wypadków. Odpowiedzialność za „bezpieczny system” dzielona jest w sposób skoordynowany pomiędzy wszystkie sektory publiczne i prywatne, a jego stosowanie jest ściśle monitorowane w celu oceny wyników oraz, w razie potrzeby, dostosow</w:t>
      </w:r>
      <w:r>
        <w:rPr>
          <w:rFonts w:ascii="Times New Roman" w:hAnsi="Times New Roman"/>
          <w:noProof/>
        </w:rPr>
        <w:t>ania środków, uwzględniając doświadczenia, nowe dane i nowe technologie.</w:t>
      </w: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Konkretne wyniki można osiągnąć za pośrednictwem lepszej koordynacji między państwami członkowskimi i przyjęcia podejścia opartego na zarządzaniu poprzez cele. Skuteczne działanie maj</w:t>
      </w:r>
      <w:r>
        <w:rPr>
          <w:rFonts w:ascii="Times New Roman" w:hAnsi="Times New Roman"/>
          <w:noProof/>
          <w:sz w:val="24"/>
        </w:rPr>
        <w:t>ące na celu wyeliminowanie znanych przyczyn wypadków powinno łączyć różne instrumenty i środki. Przepisy zatem można poprzeć, stosując jednoznaczne kryteria kwalifikowalności związane z bezpieczeństwem ruchu drogowego w odniesieniu do finansowania unijnego</w:t>
      </w:r>
      <w:r>
        <w:rPr>
          <w:rFonts w:ascii="Times New Roman" w:hAnsi="Times New Roman"/>
          <w:noProof/>
          <w:sz w:val="24"/>
        </w:rPr>
        <w:t xml:space="preserve"> i krajowego, jak również poprzez lepsze przekazywanie zdobytych doświadczeń i najlepszych praktyk oraz kampanie mające na celu zwiększenie świadomości. Dzięki temu podejściu działania mające duży wpływ na bezpieczeństwo będą w bardziej bezpośredni sposób </w:t>
      </w:r>
      <w:r>
        <w:rPr>
          <w:rFonts w:ascii="Times New Roman" w:hAnsi="Times New Roman"/>
          <w:noProof/>
          <w:sz w:val="24"/>
        </w:rPr>
        <w:t>wspierane przez finansowanie unijne. Komisja wzywa również wszystkie zainteresowane strony do podjęcia dobrowolnych zobowiązań w celu dostosowania się do ambitnego celu „wizji zero” (zob. plan działania w załączniku 1).</w:t>
      </w:r>
    </w:p>
    <w:p w:rsidR="00B154D1" w:rsidRDefault="00C61BEB">
      <w:pPr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w bliskiej współpracy z pańs</w:t>
      </w:r>
      <w:r>
        <w:rPr>
          <w:rFonts w:ascii="Times New Roman" w:hAnsi="Times New Roman"/>
          <w:noProof/>
          <w:sz w:val="24"/>
        </w:rPr>
        <w:t>twami członkowskimi wesprze to podejście, przedstawiając kluczowe wskaźniki skuteczności działania bezpośrednio związane ze zmniejszaniem liczby ofiar śmiertelnych i poważnych urazów. Wskaźniki zostaną opracowane w porozumieniu z ekspertami z organów państ</w:t>
      </w:r>
      <w:r>
        <w:rPr>
          <w:rFonts w:ascii="Times New Roman" w:hAnsi="Times New Roman"/>
          <w:noProof/>
          <w:sz w:val="24"/>
        </w:rPr>
        <w:t>w członkowskich, jak również z szerokim gronem zainteresowanych stron; powinny one obejmować wspólną metodykę pomiaru i uzgodniony punkt odniesienia oraz (w możliwym stopniu) być powiązane z wynikami docelowymi. Komisja rozważy sposoby wsparcia państw czło</w:t>
      </w:r>
      <w:r>
        <w:rPr>
          <w:rFonts w:ascii="Times New Roman" w:hAnsi="Times New Roman"/>
          <w:noProof/>
          <w:sz w:val="24"/>
        </w:rPr>
        <w:t>nkowskich we wspólnej pracy nad metodyką i pomiarami.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Przepisy, w tym przepisy na poziomie UE, będą nadal odgrywać kluczową rolę w zintegrowanym podejściu opartym na „bezpiecznym systemie”. Od marca 2018 r. weszły w życie przepisy dotyczące systemu powiad</w:t>
      </w:r>
      <w:r>
        <w:rPr>
          <w:rFonts w:ascii="Times New Roman" w:hAnsi="Times New Roman"/>
          <w:noProof/>
          <w:sz w:val="24"/>
        </w:rPr>
        <w:t>amiania o wypadkach „eCall”</w:t>
      </w:r>
      <w:r>
        <w:rPr>
          <w:rStyle w:val="Odwoanieprzypisudolnego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. System ten automatycznie powiadamia służby ratunkowe w razie poważnego wypadku i przekazuje położenie pojazdu. System jest obowiązkowy dla samochodów osobowych i pojazdów lekkich; a oczekuje się, że do połowy 2018 r. na drogac</w:t>
      </w:r>
      <w:r>
        <w:rPr>
          <w:rFonts w:ascii="Times New Roman" w:hAnsi="Times New Roman"/>
          <w:noProof/>
          <w:sz w:val="24"/>
        </w:rPr>
        <w:t xml:space="preserve">h unijnych znajdzie się pierwsza seria pojazdów wyposażonych w system eCall. System ten może przyspieszyć czas reakcji służb ratunkowych nawet o 40 % na obszarach miejskich i o 50 % na obszarach wiejskich. Komisja rozważa rozszerzenie systemu na pozostałe </w:t>
      </w:r>
      <w:r>
        <w:rPr>
          <w:rFonts w:ascii="Times New Roman" w:hAnsi="Times New Roman"/>
          <w:noProof/>
          <w:sz w:val="24"/>
        </w:rPr>
        <w:t>kategorie pojazdów.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ramach niniejszego „trzeciego pakietu dotyczącego mobilności” Komisja przyjmuje dwa wnioski, aby poprzeć cel, jakim jest bezpieczeństwo ruchu drogowego. Jeden z wniosków ma na celu przekształcenie unijnych norm bezpieczeństwa pojazdó</w:t>
      </w:r>
      <w:r>
        <w:rPr>
          <w:rFonts w:ascii="Times New Roman" w:hAnsi="Times New Roman"/>
          <w:noProof/>
          <w:sz w:val="24"/>
        </w:rPr>
        <w:t>w, aby obejmowały m.in. najnowsze elementy bezpieczeństwa, a drugi – usprawnienie zarządzania bezpieczeństwem infrastruktury drogowej.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Unijny przemysł motoryzacyjny znajduje się w czołówce pod względem rozwoju technologii umożliwiających wprowadzenie coraz bardziej przystępnych cenowo systemów bezpieczeństwa pojazdów. Wszystkie środki pomogą zapobiegać wypadkom, jednak konieczne jest prow</w:t>
      </w:r>
      <w:r>
        <w:rPr>
          <w:rFonts w:ascii="Times New Roman" w:hAnsi="Times New Roman"/>
          <w:noProof/>
          <w:sz w:val="24"/>
        </w:rPr>
        <w:t xml:space="preserve">adzenie dalszych działań. Niezbędne są ulepszone aktywne i bierne elementy bezpieczeństwa pojazdów, aby chronić osoby przebywające w pojeździe, jak również pieszych, rowerzystów i innych niechronionych użytkowników drogi. Z tego powodu Komisja przedstawia </w:t>
      </w:r>
      <w:r>
        <w:rPr>
          <w:rFonts w:ascii="Times New Roman" w:hAnsi="Times New Roman"/>
          <w:noProof/>
          <w:sz w:val="24"/>
        </w:rPr>
        <w:t>propozycję kompleksowego pakietu nowych obowiązkowych środków bezpieczeństwa pojazdów, które łączą nowe systemy zapobiegania wypadkom ze zaktualizowanymi aktywnymi i biernymi środkami bezpieczeństwa, aby poprawić ogólną sytuację na unijnych drogach dotyczą</w:t>
      </w:r>
      <w:r>
        <w:rPr>
          <w:rFonts w:ascii="Times New Roman" w:hAnsi="Times New Roman"/>
          <w:noProof/>
          <w:sz w:val="24"/>
        </w:rPr>
        <w:t xml:space="preserve">cą osób poszkodowanych. Nowe elementy bezpieczeństwa pojazdów są opłacalne, realne i wykazują wysoki potencjał do znacznego zmniejszenia liczby śmiertelnych ofiar i poważnych urazów wśród użytkowników dróg, znajdujących się zarówno w pojeździe, jak i poza </w:t>
      </w:r>
      <w:r>
        <w:rPr>
          <w:rFonts w:ascii="Times New Roman" w:hAnsi="Times New Roman"/>
          <w:noProof/>
          <w:sz w:val="24"/>
        </w:rPr>
        <w:t xml:space="preserve">nim. Utorują one również drogę dla wprowadzenia pojazdów zautomatyzowanych na szerszą skalę. 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Udoskonalone protokoły badań będą wymagały od producentów wyposażenia samochodów w bardziej zaawansowane systemy ograniczania ruchu, aby lepiej chronić starzejąc</w:t>
      </w:r>
      <w:r>
        <w:rPr>
          <w:rFonts w:ascii="Times New Roman" w:hAnsi="Times New Roman"/>
          <w:noProof/>
          <w:sz w:val="24"/>
        </w:rPr>
        <w:t>e się społeczeństwo. Coraz liczniejsi piesi i rowerzyści, którzy muszą dzielić drogę z pojazdami, również będą lepiej chronieni dzięki nowym funkcjom wykrywania zderzenia oraz poprawie bezpośredniej widoczności kierowców ciężarówek. Kwestie społeczne, taki</w:t>
      </w:r>
      <w:r>
        <w:rPr>
          <w:rFonts w:ascii="Times New Roman" w:hAnsi="Times New Roman"/>
          <w:noProof/>
          <w:sz w:val="24"/>
        </w:rPr>
        <w:t>e jak przekraczanie dopuszczalnej prędkości lub korzystanie ze smartfonów za kierownicą, będą również przedmiotem nowych proponowanych środków. Ogólnie te nowe środki bezpieczeństwa pojazdów stanowią zasadniczy wkład w poprawę bezpieczeństwa ruchu drogoweg</w:t>
      </w:r>
      <w:r>
        <w:rPr>
          <w:rFonts w:ascii="Times New Roman" w:hAnsi="Times New Roman"/>
          <w:noProof/>
          <w:sz w:val="24"/>
        </w:rPr>
        <w:t>o.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Drugi wniosek ustawodawczy Komisji ma na celu usprawnienie zarządzania bezpieczeństwem infrastruktury drogowej, aby zmniejszyć zarówno liczbę wypadków, jak i ich skutki. Poprawia to przejrzystość oraz działania następcze w związku z procedurami zapewni</w:t>
      </w:r>
      <w:r>
        <w:rPr>
          <w:rFonts w:ascii="Times New Roman" w:hAnsi="Times New Roman"/>
          <w:noProof/>
          <w:sz w:val="24"/>
        </w:rPr>
        <w:t>ania bezpieczeństwa ruchu drogowego (oceny skutków, audyty, kontrole) i wprowadza nową procedurę służącą przygotowywaniu map ryzyka wypadków w obrębie całej sieci drogowej. Umożliwi to porównanie poziomów bezpieczeństwa dróg w Europie i zapewni odpowiednie</w:t>
      </w:r>
      <w:r>
        <w:rPr>
          <w:rFonts w:ascii="Times New Roman" w:hAnsi="Times New Roman"/>
          <w:noProof/>
          <w:sz w:val="24"/>
        </w:rPr>
        <w:t xml:space="preserve"> informacje do podejmowania decyzji inwestycyjnych, w tym decyzji obejmujących środki unijne. Ponadto zakres stosowania prawodawstwa należy rozszerzyć poza transeuropejską sieć transportową i objąć nim drogi krajowe istotne z punktu widzenia transportu ogó</w:t>
      </w:r>
      <w:r>
        <w:rPr>
          <w:rFonts w:ascii="Times New Roman" w:hAnsi="Times New Roman"/>
          <w:noProof/>
          <w:sz w:val="24"/>
        </w:rPr>
        <w:t>lnounijnego, na których dochodzi do znacznego odsetka poważnych wypadków. Leży to w interesie wszystkich obywateli i przedsiębiorstw Unii, ponieważ korzystają oni ze zintegrowanej sieci dróg, a także potwierdza to praktykę dużej liczby państw członkowskich</w:t>
      </w:r>
      <w:r>
        <w:rPr>
          <w:rFonts w:ascii="Times New Roman" w:hAnsi="Times New Roman"/>
          <w:noProof/>
          <w:sz w:val="24"/>
        </w:rPr>
        <w:t xml:space="preserve">, które już rozszerzyły stosowanie przepisów Unii, obejmując nimi główne drogi leżące poza transeuropejską siecią transportową. 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dającej się przewidzieć przyszłości zaawansowana technologia pojazdów będzie musiała polegać na bieżącej infrastrukturze fiz</w:t>
      </w:r>
      <w:r>
        <w:rPr>
          <w:rFonts w:ascii="Times New Roman" w:hAnsi="Times New Roman"/>
          <w:noProof/>
          <w:sz w:val="24"/>
        </w:rPr>
        <w:t>ycznej. W związku z tym wniosek umożliwi przyszłe ustalenie wymogów wydajności infrastruktury (np. jasnych oznaczeń drogi i znaków drogowych) niezbędnych do wprowadzenia nowych funkcji technologicznych, takich jak układy unikania niezamierzonej zmiany pasa</w:t>
      </w:r>
      <w:r>
        <w:rPr>
          <w:rFonts w:ascii="Times New Roman" w:hAnsi="Times New Roman"/>
          <w:noProof/>
          <w:sz w:val="24"/>
        </w:rPr>
        <w:t xml:space="preserve"> ruchu. Będzie to pierwszy przykład istotnego wkładu, jaki infrastruktura może wnieść do bezpiecznego wprowadzenia systemów mobilności pojazdów połączonych i zautomatyzowanych. 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nadal będzie odgrywać wiodącą rolę na szczeblu światowym w zakresie a</w:t>
      </w:r>
      <w:r>
        <w:rPr>
          <w:rFonts w:ascii="Times New Roman" w:hAnsi="Times New Roman"/>
          <w:noProof/>
          <w:sz w:val="24"/>
        </w:rPr>
        <w:t>spektów bezpieczeństwa ruchu drogowego, współpracując ściśle z organizacjami międzynarodowymi, w szczególności Organizacją Narodów Zjednoczonych, dzieląc się techniczną wiedzą ekspercką i dobrymi praktykami, a także badając możliwe sposoby uczestniczenia w</w:t>
      </w:r>
      <w:r>
        <w:rPr>
          <w:rFonts w:ascii="Times New Roman" w:hAnsi="Times New Roman"/>
          <w:noProof/>
          <w:sz w:val="24"/>
        </w:rPr>
        <w:t> międzynarodowych inicjatywach finansowych. Kontynuowana będzie szczególna współpraca, zwłaszcza z sąsiadami UE, szczególnie z państwami Bałkanów Zachodnich, Turcją, państwami Partnerstwa Wschodniego, a także państwami regionu śródziemnomorskiego.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Poprzez</w:t>
      </w:r>
      <w:r>
        <w:rPr>
          <w:rFonts w:ascii="Times New Roman" w:hAnsi="Times New Roman"/>
          <w:noProof/>
          <w:sz w:val="24"/>
        </w:rPr>
        <w:t xml:space="preserve"> plan działania oraz w ścisłej współpracy z państwami członkowskimi i zainteresowanymi stronami Komisja dąży do zapewnienia, aby w trakcie przekształcania systemu mobilności w najbliższych latach bezpieczeństwo pozostało nadrzędnym elementem. Dzięki wdroże</w:t>
      </w:r>
      <w:r>
        <w:rPr>
          <w:rFonts w:ascii="Times New Roman" w:hAnsi="Times New Roman"/>
          <w:noProof/>
          <w:sz w:val="24"/>
        </w:rPr>
        <w:t>niu podejścia opartego na „bezpiecznym systemie” działania podjęte w tych ramach bezpieczeństwa ruchu drogowego powinny mieć rzeczywiste skutki i wprowadzić dalsze znaczące i niezbędne udoskonalenia skuteczności działania w zakresie bezpieczeństwa na droga</w:t>
      </w:r>
      <w:r>
        <w:rPr>
          <w:rFonts w:ascii="Times New Roman" w:hAnsi="Times New Roman"/>
          <w:noProof/>
          <w:sz w:val="24"/>
        </w:rPr>
        <w:t>ch unijnych, a także – co najważniejsze – ratować życia.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3.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 xml:space="preserve">MOBILNOŚĆ POJAZDÓW POŁĄCZONYCH I ZAUTOMATYZOWANYCH: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Droga ku kolejnemu etapowi</w:t>
      </w:r>
    </w:p>
    <w:p w:rsidR="00B154D1" w:rsidRDefault="00C61BEB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3.1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Strategia na rzecz upowszechnienia połączonych i zautomatyzowanych pojazdów w Europie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Autonomiczne kierowanie i</w:t>
      </w:r>
      <w:r>
        <w:rPr>
          <w:rFonts w:ascii="Times New Roman" w:hAnsi="Times New Roman"/>
          <w:noProof/>
          <w:sz w:val="24"/>
        </w:rPr>
        <w:t> zaawansowane systemy łączności powinny uczynić pojazdy bezpieczniejszymi i łatwiejszymi do współdzielenia, a także umożliwić dostęp do usług w zakresie mobilności większej liczbie użytkowników. Technologie te mogą być również pomocne w rozwiązywaniu wielu</w:t>
      </w:r>
      <w:r>
        <w:rPr>
          <w:rFonts w:ascii="Times New Roman" w:hAnsi="Times New Roman"/>
          <w:noProof/>
          <w:sz w:val="24"/>
        </w:rPr>
        <w:t xml:space="preserve"> znaczących wyzwań, z którymi mierzy się obecny system transportu drogowego, takich jak bezpieczeństwo ruchu drogowego, zagęszczenie ruchu, efektywność energetyczna i jakość powietrza. W znaczący sposób zmienią one wzorce mobilności oraz przekształcą trans</w:t>
      </w:r>
      <w:r>
        <w:rPr>
          <w:rFonts w:ascii="Times New Roman" w:hAnsi="Times New Roman"/>
          <w:noProof/>
          <w:sz w:val="24"/>
        </w:rPr>
        <w:t>port publiczny i urbanistykę. Pojazdy w coraz większym stopniu umożliwiające kierowcy wykonywanie zadań innych niż prowadzenie pojazdu – przynajmniej w niektórych warunkach jazdy – powinny być dostępne na rynku komercyjnym do 2020 r. Zmiany te mogą zmienić</w:t>
      </w:r>
      <w:r>
        <w:rPr>
          <w:rFonts w:ascii="Times New Roman" w:hAnsi="Times New Roman"/>
          <w:noProof/>
          <w:sz w:val="24"/>
        </w:rPr>
        <w:t xml:space="preserve"> cały ekosystem motoryzacyjny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. Mobilność autonomiczna będzie mieć również daleko idące skutki dla całej unijnej gospodarki, wpływając na jej konkurencyjność i pozycję lidera w zakresie technologii, jej potencjał wzrostu gospodarczego (wydajność i efekty m</w:t>
      </w:r>
      <w:r>
        <w:rPr>
          <w:rFonts w:ascii="Times New Roman" w:hAnsi="Times New Roman"/>
          <w:noProof/>
          <w:sz w:val="24"/>
        </w:rPr>
        <w:t xml:space="preserve">nożnikowe dla innych sektorów, w tym dla sektora telekomunikacji lub handlu elektronicznego) oraz rynki pracy (zwolnienia, ale też nowe miejsca pracy i popyt na nowe umiejętności). 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celu utrzymania się przez Europę w światowej czołówce w dziedzinie autom</w:t>
      </w:r>
      <w:r>
        <w:rPr>
          <w:rFonts w:ascii="Times New Roman" w:hAnsi="Times New Roman"/>
          <w:noProof/>
          <w:sz w:val="24"/>
        </w:rPr>
        <w:t>atyzacji i łączności pojazdów oraz zachowania miejsc pracy w UE istotne jest, aby kluczowe technologie były opracowywane w Europie, aby automatyczne i autonomiczne prowadzenie pojazdu było bezpieczne oraz aby ramy prawne były aktualne i zapewniały odpowied</w:t>
      </w:r>
      <w:r>
        <w:rPr>
          <w:rFonts w:ascii="Times New Roman" w:hAnsi="Times New Roman"/>
          <w:noProof/>
          <w:sz w:val="24"/>
        </w:rPr>
        <w:t xml:space="preserve">nie środowisko dla postępu technologicznego. 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Przemysł europejski jest dobrze przygotowany, by konkurować w skali światowej. Dzięki swoim innowacjom technologicznym unijny przemysł samochodowy jest jednym z najbardziej konkurencyjnych na świecie. UE jest ś</w:t>
      </w:r>
      <w:r>
        <w:rPr>
          <w:rFonts w:ascii="Times New Roman" w:hAnsi="Times New Roman"/>
          <w:noProof/>
          <w:sz w:val="24"/>
        </w:rPr>
        <w:t>wiatowym liderem pod względem automatyzacji. Usługi nawigacji satelitarnej Galileo również są wyraźnym atutem dzięki oferowaniu większej precyzji w zakresie pozycjonowania. Oczywiście – podobnie jak w przypadku każdej technologii przełomowej – wprowadzenie</w:t>
      </w:r>
      <w:r>
        <w:rPr>
          <w:rFonts w:ascii="Times New Roman" w:hAnsi="Times New Roman"/>
          <w:noProof/>
          <w:sz w:val="24"/>
        </w:rPr>
        <w:t xml:space="preserve"> pojazdów autonomicznych niesie za sobą ryzyko, ale także możliwości. Wstępne szacunki wskazują jednak na ogólnie zachęcające skutki gospodarcze, pod warunkiem że UE wykorzysta szanse i przyciągnie na swoje terytorium odpowiednie miejsca pracy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>.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Według </w:t>
      </w:r>
      <w:r>
        <w:rPr>
          <w:rFonts w:ascii="Times New Roman" w:hAnsi="Times New Roman"/>
          <w:noProof/>
          <w:sz w:val="24"/>
        </w:rPr>
        <w:t>badań ponad dziewięćdziesiąt procent wypadków spowodowanych jest błędem ludzkim</w:t>
      </w:r>
      <w:r>
        <w:rPr>
          <w:rStyle w:val="Odwoanieprzypisudolnego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>. Eliminując potrzebę prowadzenia pojazdu przez kierowcę, pojazdy automatyczne powinny w znaczącym stopniu poprawić bezpieczeństwo ruchu drogowego. Przykładowo pojazdy autonomi</w:t>
      </w:r>
      <w:r>
        <w:rPr>
          <w:rFonts w:ascii="Times New Roman" w:hAnsi="Times New Roman"/>
          <w:noProof/>
          <w:sz w:val="24"/>
        </w:rPr>
        <w:t>czne będą lepiej przestrzegać przepisów ruchu drogowego i będą reagować szybciej niż ludzie. Połączone i zautomatyzowane pojazdy mogą również pomóc w zmniejszeniu zagęszczenia ruchu, ponieważ dzięki nim współdzielenie pojazdów będzie łatwiejsze, a także bę</w:t>
      </w:r>
      <w:r>
        <w:rPr>
          <w:rFonts w:ascii="Times New Roman" w:hAnsi="Times New Roman"/>
          <w:noProof/>
          <w:sz w:val="24"/>
        </w:rPr>
        <w:t xml:space="preserve">dą one sprzyjać nowym i ulepszonym modelom biznesowym (tj. mobilności jako usłudze), czyniąc posiadanie samochodu w mieście mniej atrakcyjnym. 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UE rozpoczęła już przygotowania, na przykład przyjmując strategie</w:t>
      </w:r>
      <w:r>
        <w:rPr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na rzecz współpracujących inteligentnych syste</w:t>
      </w:r>
      <w:r>
        <w:rPr>
          <w:rFonts w:ascii="Times New Roman" w:hAnsi="Times New Roman"/>
          <w:noProof/>
          <w:sz w:val="24"/>
        </w:rPr>
        <w:t>mów transportowych</w:t>
      </w:r>
      <w:r>
        <w:rPr>
          <w:rFonts w:ascii="Times New Roman" w:hAnsi="Times New Roman"/>
          <w:noProof/>
          <w:sz w:val="24"/>
          <w:vertAlign w:val="superscript"/>
        </w:rPr>
        <w:footnoteReference w:id="11"/>
      </w:r>
      <w:r>
        <w:rPr>
          <w:rFonts w:ascii="Times New Roman" w:hAnsi="Times New Roman"/>
          <w:noProof/>
          <w:sz w:val="24"/>
        </w:rPr>
        <w:t>, a także na rzecz przyszłej technologii komunikacyjnej sieci 5G</w:t>
      </w:r>
      <w:r>
        <w:rPr>
          <w:noProof/>
        </w:rPr>
        <w:t>.</w:t>
      </w:r>
      <w:r>
        <w:rPr>
          <w:rStyle w:val="Odwoanieprzypisudolnego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W przeciwieństwie do innych części świata, w UE funkcjonuje już duża część niezbędnych ram prawnych. Na przykład w 2018 r. dokonano przeglądu europejskich ram homologacji</w:t>
      </w:r>
      <w:r>
        <w:rPr>
          <w:rFonts w:ascii="Times New Roman" w:hAnsi="Times New Roman"/>
          <w:noProof/>
          <w:sz w:val="24"/>
        </w:rPr>
        <w:t xml:space="preserve"> typu dla pojazdów, wprowadzając zasady nadzoru rynku, które zagwarantują prawdziwy unijny rynek wewnętrzny dla pojazdów, w tym pojazdów autonomicznych. Ramy te stanowią punkt odniesienia dla międzynarodowej harmonizacji z partnerami międzynarodowymi w Eur</w:t>
      </w:r>
      <w:r>
        <w:rPr>
          <w:rFonts w:ascii="Times New Roman" w:hAnsi="Times New Roman"/>
          <w:noProof/>
          <w:sz w:val="24"/>
        </w:rPr>
        <w:t>opejskiej Komisji Gospodarczej Organizacji Narodów Zjednoczonych. Prace nad unijnymi przepisami o ochronie danych osobowych, które określą ramy dotyczące przyszłości jednolitego rynku cyfrowego, są również zaawansowane.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Potrzebne są jednak dalsze działania</w:t>
      </w:r>
      <w:r>
        <w:rPr>
          <w:rFonts w:ascii="Times New Roman" w:hAnsi="Times New Roman"/>
          <w:noProof/>
          <w:sz w:val="24"/>
        </w:rPr>
        <w:t>. UE potrzebuje jasnego, przyszłościowego i ustalonego planu działania, aby utrzymać wiodącą pozycję w tym bardzo konkurencyjnym sektorze. Technologia rozwija się szybko i istnieje silna potrzeba skoordynowanego podejścia i ustalenia priorytetów w zakresie</w:t>
      </w:r>
      <w:r>
        <w:rPr>
          <w:rFonts w:ascii="Times New Roman" w:hAnsi="Times New Roman"/>
          <w:noProof/>
          <w:sz w:val="24"/>
        </w:rPr>
        <w:t xml:space="preserve"> finansowania badań naukowych, działań demonstracyjnych i wdrożeniowych na poziomie europejskim i krajowym, aby jak najlepiej wykorzystać obecne i przyszłe programy, zmaksymalizować wspólne wysiłki dotyczące publicznego i prywatnego inwestowania oraz w peł</w:t>
      </w:r>
      <w:r>
        <w:rPr>
          <w:rFonts w:ascii="Times New Roman" w:hAnsi="Times New Roman"/>
          <w:noProof/>
          <w:sz w:val="24"/>
        </w:rPr>
        <w:t>ni wykorzystać synergie między łącznością i automatyzacją. Podjęto już pierwsze kroki w odniesieniu do pojazdów autonomicznych na poziomie krajowym w państwach członkowskich (np. w Zjednoczonym Królestwie, Niemczech, Francji, Szwecji i Niderlandach), zwłas</w:t>
      </w:r>
      <w:r>
        <w:rPr>
          <w:rFonts w:ascii="Times New Roman" w:hAnsi="Times New Roman"/>
          <w:noProof/>
          <w:sz w:val="24"/>
        </w:rPr>
        <w:t xml:space="preserve">zcza jeżeli chodzi o demonstracje i badania na dużą skalę. Badania na dużą skalę odgrywają istotną rolę w odniesieniu do opracowywania i wdrażania odpowiednich technologii oraz ułatwienia współpracy między właściwymi podmiotami, a Komisja za pośrednictwem </w:t>
      </w:r>
      <w:r>
        <w:rPr>
          <w:rFonts w:ascii="Times New Roman" w:hAnsi="Times New Roman"/>
          <w:noProof/>
          <w:sz w:val="24"/>
        </w:rPr>
        <w:t>szczegółowych zaproszeń do składania wniosków</w:t>
      </w:r>
      <w:r>
        <w:rPr>
          <w:rFonts w:ascii="Times New Roman" w:hAnsi="Times New Roman"/>
          <w:noProof/>
          <w:sz w:val="24"/>
          <w:vertAlign w:val="superscript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 wspiera transgraniczną koordynację i transgraniczne testowanie pojazdów autonomicznych. 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Niezbędne jest opracowanie dalszych środków wspomagających mających na celu zapewnienie wytycznych dla sektora i państw </w:t>
      </w:r>
      <w:r>
        <w:rPr>
          <w:rFonts w:ascii="Times New Roman" w:hAnsi="Times New Roman"/>
          <w:noProof/>
          <w:sz w:val="24"/>
        </w:rPr>
        <w:t>członkowskich w przypadku pojazdów autonomicznych i ich interakcji z przyszłymi sieciami łączności i innymi pojazdami. Będą one obejmować przyspieszenie wdrażania usług na rzecz współpracujących inteligentnych systemów transportowych. W deklaracji amsterda</w:t>
      </w:r>
      <w:r>
        <w:rPr>
          <w:rFonts w:ascii="Times New Roman" w:hAnsi="Times New Roman"/>
          <w:noProof/>
          <w:sz w:val="24"/>
        </w:rPr>
        <w:t>mskiej wezwano do opracowania przejrzystych wytycznych UE, aby uniknąć fragmentacji rynku i dokonywać właściwych inwestycji</w:t>
      </w:r>
      <w:r>
        <w:rPr>
          <w:rStyle w:val="Odwoanieprzypisudolnego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>. Niektóre państwa członkowskie już przyjęły własne strategie i rozpoczynają proces przyjmowania przepisów krajowych. Na poziomie UE</w:t>
      </w:r>
      <w:r>
        <w:rPr>
          <w:rFonts w:ascii="Times New Roman" w:hAnsi="Times New Roman"/>
          <w:noProof/>
          <w:sz w:val="24"/>
        </w:rPr>
        <w:t xml:space="preserve"> niezbędne jest podejście oparte na rynku wewnętrznym, aby zapewnić minimalne poziomy harmonizacji i interoperacyjności, jak również pewność prawa. </w:t>
      </w:r>
    </w:p>
    <w:p w:rsidR="00B154D1" w:rsidRDefault="00C61BEB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odpowiedzi na te wieloaspektowe wyzwania oraz aby w pełni czerpać korzyści z nowych możliwości oferowanyc</w:t>
      </w:r>
      <w:r>
        <w:rPr>
          <w:rFonts w:ascii="Times New Roman" w:hAnsi="Times New Roman"/>
          <w:noProof/>
          <w:sz w:val="24"/>
        </w:rPr>
        <w:t>h przez rozwój technologiczny, Komisja przedstawia propozycję podejścia unijnego opierającego się na trzech wzajemnie powiązanych celach strategicznych:</w:t>
      </w:r>
    </w:p>
    <w:p w:rsidR="00B154D1" w:rsidRDefault="00C61BEB">
      <w:pPr>
        <w:numPr>
          <w:ilvl w:val="0"/>
          <w:numId w:val="6"/>
        </w:num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rozwoju kluczowych technologii i infrastruktury, aby zwiększyć konkurencyjność UE;</w:t>
      </w:r>
    </w:p>
    <w:p w:rsidR="00B154D1" w:rsidRDefault="00C61BEB">
      <w:pPr>
        <w:numPr>
          <w:ilvl w:val="0"/>
          <w:numId w:val="6"/>
        </w:numPr>
        <w:ind w:left="360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zapewnieniu </w:t>
      </w:r>
      <w:r>
        <w:rPr>
          <w:rFonts w:ascii="Times New Roman" w:hAnsi="Times New Roman"/>
          <w:noProof/>
          <w:sz w:val="24"/>
        </w:rPr>
        <w:t>bezpiecznego wprowadzania do ruchu pojazdów połączonych i zautomatyzowanych;</w:t>
      </w:r>
    </w:p>
    <w:p w:rsidR="00B154D1" w:rsidRDefault="00C61BEB">
      <w:pPr>
        <w:numPr>
          <w:ilvl w:val="0"/>
          <w:numId w:val="4"/>
        </w:numPr>
        <w:spacing w:after="120"/>
        <w:ind w:left="354" w:hanging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rozwiązaniu kwestii społeczno-gospodarczych skutków mobilności autonomicznej.</w:t>
      </w:r>
    </w:p>
    <w:p w:rsidR="00B154D1" w:rsidRDefault="00C61BEB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Działanie UE może pomóc poprzez określenie wspólnej wizji dotyczącej przyszłego rozwoju sektora oraz </w:t>
      </w:r>
      <w:r>
        <w:rPr>
          <w:rFonts w:ascii="Times New Roman" w:hAnsi="Times New Roman"/>
          <w:noProof/>
          <w:sz w:val="24"/>
        </w:rPr>
        <w:t>poprzez zapewnienie, aby unijne ramy prawne i polityczne w zakresie kluczowych kwestii (np. bezpieczeństwa ruchu drogowego i cyberbezpieczeństwa) były gotowe na wprowadzenie na rynek nowych produktów i usług. UE może również zapewnić działania wspomagające</w:t>
      </w:r>
      <w:r>
        <w:rPr>
          <w:rFonts w:ascii="Times New Roman" w:hAnsi="Times New Roman"/>
          <w:noProof/>
          <w:sz w:val="24"/>
        </w:rPr>
        <w:t xml:space="preserve"> dotyczące rozwoju i transgranicznego wdrażania kluczowych technologii, usług i infrastruktury, w tym ustanowienia partnerstwa w ramach kolejnych wieloletnich ram finansowych UE, wzmocnienia pozycji zarówno obywateli Unii, jak i europejskiego przemysłu i c</w:t>
      </w:r>
      <w:r>
        <w:rPr>
          <w:rFonts w:ascii="Times New Roman" w:hAnsi="Times New Roman"/>
          <w:noProof/>
          <w:sz w:val="24"/>
        </w:rPr>
        <w:t>zerpania przez nich korzyści. Co najważniejsze, UE może również pomóc w rozwiązaniu oraz opracowaniu kwestii wspólnych europejskich rozwiązań dotyczących powiązanych kwestii społecznych, które prawdopodobnie będą decydujące dla społecznej akceptacji tych n</w:t>
      </w:r>
      <w:r>
        <w:rPr>
          <w:rFonts w:ascii="Times New Roman" w:hAnsi="Times New Roman"/>
          <w:noProof/>
          <w:sz w:val="24"/>
        </w:rPr>
        <w:t>owych technologii; w szczególności dotyczy to ochrony danych osobowych, podstawowych wyborów etycznych związanych z rozwojem systemów autonomicznych, wyraźnego przypisania odpowiedzialności w przypadku wypadków oraz skutków dla zatrudnienia i umiejętności</w:t>
      </w:r>
      <w:r>
        <w:rPr>
          <w:rStyle w:val="Odwoanieprzypisudolnego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 xml:space="preserve">. </w:t>
      </w:r>
    </w:p>
    <w:p w:rsidR="00B154D1" w:rsidRDefault="00C61BEB">
      <w:pPr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Działania szczegółowe i uzupełniające mające na celu realizacje tych trzech nadrzędnych celów określono w towarzyszącym komunikacie w sprawie unijnej strategii na rzecz mobilności pojazdów połączonych i zautomatyzowanych</w:t>
      </w:r>
      <w:r>
        <w:rPr>
          <w:rFonts w:ascii="Times New Roman" w:hAnsi="Times New Roman"/>
          <w:noProof/>
          <w:sz w:val="24"/>
          <w:vertAlign w:val="superscript"/>
        </w:rPr>
        <w:footnoteReference w:id="16"/>
      </w:r>
      <w:r>
        <w:rPr>
          <w:rFonts w:ascii="Times New Roman" w:hAnsi="Times New Roman"/>
          <w:noProof/>
          <w:sz w:val="24"/>
        </w:rPr>
        <w:t>.</w:t>
      </w:r>
    </w:p>
    <w:p w:rsidR="00B154D1" w:rsidRDefault="00C61BEB">
      <w:pPr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3.2.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Ustanowienie otoczenia cy</w:t>
      </w:r>
      <w:r>
        <w:rPr>
          <w:rFonts w:ascii="Times New Roman" w:hAnsi="Times New Roman"/>
          <w:b/>
          <w:noProof/>
          <w:sz w:val="24"/>
        </w:rPr>
        <w:t>frowego dotyczącego wymiany informacji w transporcie</w:t>
      </w:r>
    </w:p>
    <w:p w:rsidR="00B154D1" w:rsidRDefault="00C61BEB">
      <w:pPr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Oprócz inicjatyw przyczyniających się do unijnej strategii na rzecz mobilności pojazdów połączonych i zautomatyzowanych niniejszy trzeci pakiet dotyczący mobilności obejmuje również dwa wnioski mające na</w:t>
      </w:r>
      <w:r>
        <w:rPr>
          <w:rFonts w:ascii="Times New Roman" w:hAnsi="Times New Roman"/>
          <w:noProof/>
          <w:sz w:val="24"/>
        </w:rPr>
        <w:t xml:space="preserve"> celu ustanowienie w pełni cyfrowego i zharmonizowanego otoczenia dotyczącego wymiany informacji między przewoźnikami i organami. Proponowane rozporządzenia w sprawie europejskiego pojedynczego punktu kontaktowego w sprawach morskich oraz w sprawie elektro</w:t>
      </w:r>
      <w:r>
        <w:rPr>
          <w:rFonts w:ascii="Times New Roman" w:hAnsi="Times New Roman"/>
          <w:noProof/>
          <w:sz w:val="24"/>
        </w:rPr>
        <w:t>nicznych informacji dotyczących transportu towarowego wzajemnie się uzupełniają, a także umożliwiają elektroniczną i uproszczoną wymianę informacji między przedsiębiorstwami i organami wzdłuż szlaków transportowych od punktów wprowadzenia w portach UE do o</w:t>
      </w:r>
      <w:r>
        <w:rPr>
          <w:rFonts w:ascii="Times New Roman" w:hAnsi="Times New Roman"/>
          <w:noProof/>
          <w:sz w:val="24"/>
        </w:rPr>
        <w:t>statecznego miejsca przeznaczenia towarów</w:t>
      </w:r>
      <w:r>
        <w:rPr>
          <w:rStyle w:val="Odwoanieprzypisudolnego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>. Te dwa wnioski ograniczą biurokrację i ułatwią przepływy informacji cyfrowych w przypadku operacji logistycznych, zapewniając lepsze połączenie poszczególnych rodzajów transportu, tym samym przyczyniając się do r</w:t>
      </w:r>
      <w:r>
        <w:rPr>
          <w:rFonts w:ascii="Times New Roman" w:hAnsi="Times New Roman"/>
          <w:noProof/>
          <w:sz w:val="24"/>
        </w:rPr>
        <w:t>ozwoju rozwiązań multimodalnych.</w:t>
      </w:r>
    </w:p>
    <w:p w:rsidR="00B154D1" w:rsidRDefault="00C61BE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EKOLOGICZNA MOBILNOŚĆ: Sprostanie wyzwaniom związanym z klimatem przy jednoczesnym utrzymaniu konkurencyjności przemysłu UE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54D1" w:rsidRDefault="00C61B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4.1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Stworzenie konkurencyjnego „ekosystemu” baterii w Europie – strategiczny plan działania</w:t>
      </w:r>
    </w:p>
    <w:p w:rsidR="00B154D1" w:rsidRDefault="00C61BEB"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Pro</w:t>
      </w:r>
      <w:r>
        <w:rPr>
          <w:rFonts w:ascii="Times New Roman" w:hAnsi="Times New Roman"/>
          <w:noProof/>
          <w:sz w:val="24"/>
        </w:rPr>
        <w:t>dukcja i rozwój baterii jest strategicznym celem dla Europy w kontekście przejścia na czystą energię i stanowi kluczowy element konkurencyjności jej sektora motoryzacyjnego. W związku z tym stanowi ona również integralną część celu Komisji określonego w no</w:t>
      </w:r>
      <w:r>
        <w:rPr>
          <w:rFonts w:ascii="Times New Roman" w:hAnsi="Times New Roman"/>
          <w:noProof/>
          <w:sz w:val="24"/>
        </w:rPr>
        <w:t>wej strategii dotyczącej polityki przemysłowej, aby uczynić UE światowym liderem w zakresie innowacji, cyfryzacji i dekarbonizacji</w:t>
      </w:r>
      <w:r>
        <w:rPr>
          <w:rStyle w:val="Odwoanieprzypisudolnego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. </w:t>
      </w:r>
    </w:p>
    <w:p w:rsidR="00B154D1" w:rsidRDefault="00C61BEB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Pilne wyzwanie, aby stworzyć konkurencyjny i zrównoważony przemysł produkcji baterii w Europie, jest ogromne, a Europa mus</w:t>
      </w:r>
      <w:r>
        <w:rPr>
          <w:rFonts w:ascii="Times New Roman" w:hAnsi="Times New Roman"/>
          <w:noProof/>
          <w:sz w:val="24"/>
        </w:rPr>
        <w:t>i szybko działać w ogólnoświatowym wyścigu, by zapobiec poważnej zależności technologicznej od konkurentów, ale również by wykorzystać ogromny potencjał baterii pod względem miejsc pracy, wzrostu gospodarczego i inwestycji. Według niektórych prognoz począw</w:t>
      </w:r>
      <w:r>
        <w:rPr>
          <w:rFonts w:ascii="Times New Roman" w:hAnsi="Times New Roman"/>
          <w:noProof/>
          <w:sz w:val="24"/>
        </w:rPr>
        <w:t>szy od 2025 r. Europa mogłaby zdobyć udział w rynku baterii o wartości nawet 250 mld EUR rocznie, obsługiwany przez co najmniej 10–20 gigantycznych fabryk (zakłady masowo produkujące ogniwa baterii), na pokrycie samego zapotrzebowania w UE</w:t>
      </w:r>
      <w:r>
        <w:rPr>
          <w:rStyle w:val="Odwoanieprzypisudolnego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 xml:space="preserve">. </w:t>
      </w:r>
    </w:p>
    <w:p w:rsidR="00B154D1" w:rsidRDefault="00C61BEB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Biorąc pod </w:t>
      </w:r>
      <w:r>
        <w:rPr>
          <w:rFonts w:ascii="Times New Roman" w:hAnsi="Times New Roman"/>
          <w:noProof/>
          <w:sz w:val="24"/>
        </w:rPr>
        <w:t>uwagę skalę i tempo koniecznych inwestycji, nie można rozwiązać tego wyzwania dla przemysłu w sposób fragmentaryczny.</w:t>
      </w:r>
    </w:p>
    <w:p w:rsidR="00B154D1" w:rsidRDefault="00C61BEB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 październiku 2017 r. Komisja uruchomiła „</w:t>
      </w:r>
      <w:r>
        <w:rPr>
          <w:rFonts w:ascii="Times New Roman" w:hAnsi="Times New Roman"/>
          <w:b/>
          <w:noProof/>
          <w:sz w:val="24"/>
        </w:rPr>
        <w:t>europejski sojusz na rzecz baterii</w:t>
      </w:r>
      <w:r>
        <w:rPr>
          <w:rFonts w:ascii="Times New Roman" w:hAnsi="Times New Roman"/>
          <w:noProof/>
          <w:sz w:val="24"/>
        </w:rPr>
        <w:t>”</w:t>
      </w:r>
      <w:r>
        <w:rPr>
          <w:rStyle w:val="Odwoanieprzypisudolnego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 xml:space="preserve"> z najważniejszymi zainteresowanymi stronami z sektora, akt</w:t>
      </w:r>
      <w:r>
        <w:rPr>
          <w:rFonts w:ascii="Times New Roman" w:hAnsi="Times New Roman"/>
          <w:noProof/>
          <w:sz w:val="24"/>
        </w:rPr>
        <w:t>ywnymi państwami członkowskimi i Europejskim Bankiem Inwestycyjnym. Celem tej platformy współpracy jest ułatwienie powstania dobrze zintegrowanych i prowadzonych przez przemysł projektów dotyczących produkcji ogniw baterii, łącząc siły UE i wspierając wspó</w:t>
      </w:r>
      <w:r>
        <w:rPr>
          <w:rFonts w:ascii="Times New Roman" w:hAnsi="Times New Roman"/>
          <w:noProof/>
          <w:sz w:val="24"/>
        </w:rPr>
        <w:t>łpracę między różnymi podmiotami w całym łańcuchu wartości, osiągając synergie i zwiększając konkurencyjność i korzyści skali. Od czasu uruchomienia europejskiego sojuszu na rzecz baterii nastąpiły już namacalne zmiany związane z powstaniem przemysłowych k</w:t>
      </w:r>
      <w:r>
        <w:rPr>
          <w:rFonts w:ascii="Times New Roman" w:hAnsi="Times New Roman"/>
          <w:noProof/>
          <w:sz w:val="24"/>
        </w:rPr>
        <w:t xml:space="preserve">onsorcjów lub partnerstw mających na celu rozwój produkcji ogniw baterii i powiązanych ekosystemów. </w:t>
      </w:r>
    </w:p>
    <w:p w:rsidR="00B154D1" w:rsidRDefault="00C61BEB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Należy wykorzystać tą dynamikę.</w:t>
      </w:r>
    </w:p>
    <w:p w:rsidR="00B154D1" w:rsidRDefault="00C61BEB">
      <w:pPr>
        <w:shd w:val="clear" w:color="auto" w:fill="FFFFFF" w:themeFill="background1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Jako część pakietu „Europa w ruchu” oraz w następstwie konsultacji i ścisłej współpracy z zainteresowanymi stronami repreze</w:t>
      </w:r>
      <w:r>
        <w:rPr>
          <w:rFonts w:ascii="Times New Roman" w:hAnsi="Times New Roman"/>
          <w:noProof/>
          <w:sz w:val="24"/>
        </w:rPr>
        <w:t>ntującymi przemysł (ponad 120 podmiotami)</w:t>
      </w:r>
      <w:r>
        <w:rPr>
          <w:rStyle w:val="Odwoanieprzypisudolnego"/>
          <w:noProof/>
          <w:sz w:val="24"/>
        </w:rPr>
        <w:footnoteReference w:id="21"/>
      </w:r>
      <w:r>
        <w:rPr>
          <w:rFonts w:ascii="Times New Roman" w:hAnsi="Times New Roman"/>
          <w:noProof/>
          <w:sz w:val="24"/>
        </w:rPr>
        <w:t xml:space="preserve"> w ramach „europejskiego sojuszu na rzecz baterii” Komisja przedstawia kompleksowy </w:t>
      </w:r>
      <w:r>
        <w:rPr>
          <w:rFonts w:ascii="Times New Roman" w:hAnsi="Times New Roman"/>
          <w:b/>
          <w:noProof/>
          <w:sz w:val="24"/>
        </w:rPr>
        <w:t xml:space="preserve">strategiczny plan działania na rzecz baterii </w:t>
      </w:r>
      <w:r>
        <w:rPr>
          <w:rFonts w:ascii="Times New Roman" w:hAnsi="Times New Roman"/>
          <w:noProof/>
          <w:sz w:val="24"/>
        </w:rPr>
        <w:t>(załącznik 2), w którym określono zbiór konkretnych środków mających przyczynić się do</w:t>
      </w:r>
      <w:r>
        <w:rPr>
          <w:rFonts w:ascii="Times New Roman" w:hAnsi="Times New Roman"/>
          <w:noProof/>
          <w:sz w:val="24"/>
        </w:rPr>
        <w:t xml:space="preserve"> stworzenia tego innowacyjnego, zrównoważonego i konkurencyjnego „ekosystemu” baterii w Europie. </w:t>
      </w:r>
    </w:p>
    <w:p w:rsidR="00B154D1" w:rsidRDefault="00C61BE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 pośrednictwem tego planu działania Komisja nie tylko propaguje transgraniczne i zintegrowane podejście na szczeblu europejskim, ale także kładzie duży naci</w:t>
      </w:r>
      <w:r>
        <w:rPr>
          <w:rFonts w:ascii="Times New Roman" w:hAnsi="Times New Roman"/>
          <w:noProof/>
          <w:sz w:val="24"/>
        </w:rPr>
        <w:t>sk na produkcję baterii w całym łańcuchu wartości, który obejmuje wydobycie i przetwarzanie (pierwotnych i wtórnych) surowców, etap projektowania i produkcji ogniw baterii i zestawów baterii, ich wykorzystanie, powtórne wykorzystanie, recykling i ich utyli</w:t>
      </w:r>
      <w:r>
        <w:rPr>
          <w:rFonts w:ascii="Times New Roman" w:hAnsi="Times New Roman"/>
          <w:noProof/>
          <w:sz w:val="24"/>
        </w:rPr>
        <w:t xml:space="preserve">zacja w kontekście gospodarki o obiegu zamkniętym. Takie podejście będzie służyło promocji produkcji i wykorzystania baterii o wysokiej wydajności oraz ustali wartości odniesienia dotyczących zrównoważonego charakteru w całym łańcuchu wartości UE. </w:t>
      </w:r>
    </w:p>
    <w:p w:rsidR="00B154D1" w:rsidRDefault="00C61BE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Plan działania łączy ukierunkowane działania na szczeblu UE – w tym w obszarze surowców, badań naukowych i innowacji, finansowania/inwestycji, standaryzacji/regulacji, rozwoju handlu i umiejętności – aby Europa stała się światowym liderem zrównoważonej pro</w:t>
      </w:r>
      <w:r>
        <w:rPr>
          <w:rFonts w:ascii="Times New Roman" w:hAnsi="Times New Roman"/>
          <w:noProof/>
          <w:sz w:val="24"/>
        </w:rPr>
        <w:t xml:space="preserve">dukcji i wykorzystania baterii w kontekście gospodarki o obiegu zamkniętym. </w:t>
      </w:r>
    </w:p>
    <w:p w:rsidR="00B154D1" w:rsidRDefault="00C61BE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Działanie to ma w szczególności na celu:</w:t>
      </w:r>
    </w:p>
    <w:p w:rsidR="00B154D1" w:rsidRDefault="00C61BEB">
      <w:pPr>
        <w:numPr>
          <w:ilvl w:val="0"/>
          <w:numId w:val="8"/>
        </w:numPr>
        <w:spacing w:after="120" w:line="240" w:lineRule="auto"/>
        <w:ind w:left="357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zapewnienie dostępu do surowców</w:t>
      </w:r>
      <w:r>
        <w:rPr>
          <w:rFonts w:ascii="Times New Roman" w:hAnsi="Times New Roman"/>
          <w:noProof/>
          <w:sz w:val="24"/>
        </w:rPr>
        <w:t xml:space="preserve"> pochodzących z bogatych w zasoby państw spoza UE, ułatwienie dostępu do europejskich źródeł surowców, a ta</w:t>
      </w:r>
      <w:r>
        <w:rPr>
          <w:rFonts w:ascii="Times New Roman" w:hAnsi="Times New Roman"/>
          <w:noProof/>
          <w:sz w:val="24"/>
        </w:rPr>
        <w:t xml:space="preserve">kże dostępu do </w:t>
      </w:r>
      <w:r>
        <w:rPr>
          <w:rFonts w:ascii="Times New Roman" w:hAnsi="Times New Roman"/>
          <w:b/>
          <w:noProof/>
          <w:sz w:val="24"/>
        </w:rPr>
        <w:t>surowców wtórnych</w:t>
      </w:r>
      <w:r>
        <w:rPr>
          <w:rFonts w:ascii="Times New Roman" w:hAnsi="Times New Roman"/>
          <w:noProof/>
          <w:sz w:val="24"/>
        </w:rPr>
        <w:t xml:space="preserve"> dzięki recyklingowi baterii w ramach gospodarki o obiegu zamkniętym;</w:t>
      </w:r>
    </w:p>
    <w:p w:rsidR="00B154D1" w:rsidRDefault="00C61BEB">
      <w:pPr>
        <w:numPr>
          <w:ilvl w:val="0"/>
          <w:numId w:val="8"/>
        </w:numPr>
        <w:spacing w:after="120" w:line="240" w:lineRule="auto"/>
        <w:ind w:left="357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wsparcie dla europejskiej produkcji ogniw baterii na dużą skalę i stworzenia w Europie w pełni konkurencyjnego łańcucha wartości: </w:t>
      </w:r>
      <w:r>
        <w:rPr>
          <w:rFonts w:ascii="Times New Roman" w:hAnsi="Times New Roman"/>
          <w:noProof/>
          <w:sz w:val="24"/>
        </w:rPr>
        <w:t>wspólne zaangażowanie gł</w:t>
      </w:r>
      <w:r>
        <w:rPr>
          <w:rFonts w:ascii="Times New Roman" w:hAnsi="Times New Roman"/>
          <w:noProof/>
          <w:sz w:val="24"/>
        </w:rPr>
        <w:t>ównych uczestników rynku i organów krajowych; współpraca z państwami członkowskimi i Europejskim Bankiem Inwestycyjnym w celu wspierania innowacyjnych i zintegrowanych projektów dotyczących produkcji na dużą skalę, z uwzględnieniem istotnego wymiaru transg</w:t>
      </w:r>
      <w:r>
        <w:rPr>
          <w:rFonts w:ascii="Times New Roman" w:hAnsi="Times New Roman"/>
          <w:noProof/>
          <w:sz w:val="24"/>
        </w:rPr>
        <w:t>ranicznego i dotyczącego zrównoważonego rozwoju;</w:t>
      </w:r>
    </w:p>
    <w:p w:rsidR="00B154D1" w:rsidRDefault="00C61BEB">
      <w:pPr>
        <w:numPr>
          <w:ilvl w:val="0"/>
          <w:numId w:val="8"/>
        </w:numPr>
        <w:spacing w:after="120" w:line="240" w:lineRule="auto"/>
        <w:ind w:left="357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wzmocnienie wiodącej pozycji w przemyśle za pośrednictwem zintensyfikowanego wsparcia związanego z badaniami naukowymi i innowacjami </w:t>
      </w:r>
      <w:r>
        <w:rPr>
          <w:rFonts w:ascii="Times New Roman" w:hAnsi="Times New Roman"/>
          <w:noProof/>
          <w:sz w:val="24"/>
        </w:rPr>
        <w:t>na rzecz technologii zaawansowanych (np. litowo-jonowych) i przełomowych (</w:t>
      </w:r>
      <w:r>
        <w:rPr>
          <w:rFonts w:ascii="Times New Roman" w:hAnsi="Times New Roman"/>
          <w:noProof/>
          <w:sz w:val="24"/>
        </w:rPr>
        <w:t>np. półprzewodnikowych);</w:t>
      </w:r>
    </w:p>
    <w:p w:rsidR="00B154D1" w:rsidRDefault="00C61BEB">
      <w:pPr>
        <w:numPr>
          <w:ilvl w:val="0"/>
          <w:numId w:val="8"/>
        </w:numPr>
        <w:spacing w:after="120" w:line="240" w:lineRule="auto"/>
        <w:ind w:left="357" w:hanging="357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rozwinięcie i wsparcie wysoko wykwalifikowanej siły roboczej we wszystkich segmentach łańcucha wartości baterii </w:t>
      </w:r>
      <w:r>
        <w:rPr>
          <w:rFonts w:ascii="Times New Roman" w:hAnsi="Times New Roman"/>
          <w:noProof/>
          <w:sz w:val="24"/>
        </w:rPr>
        <w:t>w</w:t>
      </w:r>
      <w:r>
        <w:rPr>
          <w:rFonts w:ascii="Times New Roman" w:hAnsi="Times New Roman"/>
          <w:b/>
          <w:noProof/>
          <w:sz w:val="24"/>
        </w:rPr>
        <w:t> </w:t>
      </w:r>
      <w:r>
        <w:rPr>
          <w:rFonts w:ascii="Times New Roman" w:hAnsi="Times New Roman"/>
          <w:noProof/>
          <w:sz w:val="24"/>
        </w:rPr>
        <w:t>celu zlikwidowania niedoboru kwalifikacji za pomocą działań na szczeblu UE i państw członkowskich polegających na zap</w:t>
      </w:r>
      <w:r>
        <w:rPr>
          <w:rFonts w:ascii="Times New Roman" w:hAnsi="Times New Roman"/>
          <w:noProof/>
          <w:sz w:val="24"/>
        </w:rPr>
        <w:t>ewnianiu odpowiedniego szkolenia, przekwalifikowywania i podnoszenia kwalifikacji oraz dzięki uczynieniu Europy atrakcyjnym miejscem dla światowej klasy ekspertów w dziedzinie opracowywania i produkcji baterii;</w:t>
      </w:r>
    </w:p>
    <w:p w:rsidR="00B154D1" w:rsidRDefault="00C61BEB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wsparcie zrównoważonego charakteru unijnego p</w:t>
      </w:r>
      <w:r>
        <w:rPr>
          <w:rFonts w:ascii="Times New Roman" w:hAnsi="Times New Roman"/>
          <w:b/>
          <w:noProof/>
          <w:sz w:val="24"/>
        </w:rPr>
        <w:t>rzemysłu produkcji ogniw baterii przy możliwie najmniejszym śladzie środowiskowym</w:t>
      </w:r>
      <w:r>
        <w:rPr>
          <w:rFonts w:ascii="Times New Roman" w:hAnsi="Times New Roman"/>
          <w:noProof/>
          <w:sz w:val="24"/>
        </w:rPr>
        <w:t>. Cel ten wymaga w szczególności określenia wymogów dotyczących bezpiecznej i zrównoważonej produkcji baterii w Europie;</w:t>
      </w:r>
    </w:p>
    <w:p w:rsidR="00B154D1" w:rsidRDefault="00C61BEB">
      <w:pPr>
        <w:numPr>
          <w:ilvl w:val="0"/>
          <w:numId w:val="8"/>
        </w:numPr>
        <w:spacing w:after="120" w:line="240" w:lineRule="auto"/>
        <w:ind w:left="357" w:hanging="357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zapewnienie spójności z szerszymi unijnymi ramami regu</w:t>
      </w:r>
      <w:r>
        <w:rPr>
          <w:rFonts w:ascii="Times New Roman" w:hAnsi="Times New Roman"/>
          <w:b/>
          <w:noProof/>
          <w:sz w:val="24"/>
        </w:rPr>
        <w:t>lacyjnymi i wspomagającymi</w:t>
      </w:r>
      <w:r>
        <w:rPr>
          <w:rFonts w:ascii="Times New Roman" w:hAnsi="Times New Roman"/>
          <w:noProof/>
          <w:sz w:val="24"/>
        </w:rPr>
        <w:t xml:space="preserve"> (strategia „Czysta energia” i pakiety dotyczące mobilności, polityka handlowa itp.).</w:t>
      </w:r>
    </w:p>
    <w:p w:rsidR="00B154D1" w:rsidRDefault="00B154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54D1" w:rsidRDefault="00C61BEB">
      <w:pPr>
        <w:shd w:val="clear" w:color="auto" w:fill="FFFFFF" w:themeFill="background1"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Wskazane działania mogą wywołać skutki w perspektywie krótko- i średnioterminowej, w szczególności dla unijnej produkcji ogniw, a także mogą po</w:t>
      </w:r>
      <w:r>
        <w:rPr>
          <w:rFonts w:ascii="Times New Roman" w:hAnsi="Times New Roman"/>
          <w:noProof/>
          <w:sz w:val="24"/>
        </w:rPr>
        <w:t>móc we wprowadzeniu w perspektywie długoterminowej zmian strukturalnych, które przyczynią się do stworzenia w UE ekosystemu baterii, który obejmie cały łańcuch wartości baterii i który stworzy warunki sprzyjające wprowadzeniu nowej generacji technologii do</w:t>
      </w:r>
      <w:r>
        <w:rPr>
          <w:rFonts w:ascii="Times New Roman" w:hAnsi="Times New Roman"/>
          <w:noProof/>
          <w:sz w:val="24"/>
        </w:rPr>
        <w:t xml:space="preserve">tyczących baterii. </w:t>
      </w:r>
    </w:p>
    <w:p w:rsidR="00B154D1" w:rsidRDefault="00C61BE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Skuteczna realizacja poszczególnych działań wymaga dalszego zwiększenia tej współpracy, w związku z czym Komisja liczy na zaangażowanie wszystkich zainteresowanych stron w stawienie czoła wyzwaniu związanemu z bateriami, przed którym st</w:t>
      </w:r>
      <w:r>
        <w:rPr>
          <w:rFonts w:ascii="Times New Roman" w:hAnsi="Times New Roman"/>
          <w:noProof/>
          <w:sz w:val="24"/>
        </w:rPr>
        <w:t>oi Europa. W tym celu Komisja pozostanie w ścisłym kontakcie z państwami członkowskimi i przemysłem w ramach europejskiego sojuszu na rzecz baterii, aby utrzymać tempo i zapewnić, by zaangażowanie i podjęte działania szybko przełożyły się na wymierne rezul</w:t>
      </w:r>
      <w:r>
        <w:rPr>
          <w:rFonts w:ascii="Times New Roman" w:hAnsi="Times New Roman"/>
          <w:noProof/>
          <w:sz w:val="24"/>
        </w:rPr>
        <w:t xml:space="preserve">taty. </w:t>
      </w:r>
    </w:p>
    <w:p w:rsidR="00B154D1" w:rsidRDefault="00C61BEB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 pośrednictwem przedmiotowego planu działania Komisja pragnie wprowadzić Europę na solidną ścieżkę prowadzącą do wiodącej roli w przemyśle kluczowym dla przyszłości, wspierając miejsca pracy i wzrost gospodarczy w gospodarce o obiegu zamkniętym, z</w:t>
      </w:r>
      <w:r>
        <w:rPr>
          <w:rFonts w:ascii="Times New Roman" w:hAnsi="Times New Roman"/>
          <w:noProof/>
          <w:sz w:val="24"/>
        </w:rPr>
        <w:t xml:space="preserve">apewniając jednocześnie obywatelom Unii czystą mobilność oraz poprawę stanu środowiska i jakości życia. </w:t>
      </w:r>
    </w:p>
    <w:p w:rsidR="00B154D1" w:rsidRDefault="00C61BE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4.2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Uzupełnienie ram legislacyjnych UE dotyczących emisji CO</w:t>
      </w:r>
      <w:r>
        <w:rPr>
          <w:rFonts w:ascii="Times New Roman" w:hAnsi="Times New Roman"/>
          <w:b/>
          <w:noProof/>
          <w:sz w:val="24"/>
          <w:vertAlign w:val="subscript"/>
        </w:rPr>
        <w:t>2</w:t>
      </w:r>
      <w:r>
        <w:rPr>
          <w:rFonts w:ascii="Times New Roman" w:hAnsi="Times New Roman"/>
          <w:b/>
          <w:noProof/>
          <w:sz w:val="24"/>
        </w:rPr>
        <w:t xml:space="preserve"> w transporcie drogowym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W </w:t>
      </w:r>
      <w:hyperlink r:id="rId10">
        <w:r>
          <w:rPr>
            <w:rFonts w:ascii="Times New Roman" w:hAnsi="Times New Roman"/>
            <w:noProof/>
            <w:sz w:val="24"/>
          </w:rPr>
          <w:t>Europejskiej strategii na rzecz mobilności niskoemisyjnej</w:t>
        </w:r>
      </w:hyperlink>
      <w:r>
        <w:rPr>
          <w:rFonts w:ascii="Times New Roman" w:hAnsi="Times New Roman"/>
          <w:noProof/>
          <w:sz w:val="24"/>
        </w:rPr>
        <w:t xml:space="preserve"> Komisja podjęła zobowiązanie polityczne do zaproponowania pierwszych w historii przepisów unij</w:t>
      </w:r>
      <w:r>
        <w:rPr>
          <w:rFonts w:ascii="Times New Roman" w:hAnsi="Times New Roman"/>
          <w:noProof/>
          <w:sz w:val="24"/>
        </w:rPr>
        <w:t>nych dotyczących emisji 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z pojazdów ciężkich. Komisja spełnia to zobowiązanie w ramach niniejszego trzeciego pakietu na rzecz mobilności</w:t>
      </w:r>
      <w:r>
        <w:rPr>
          <w:rStyle w:val="Odwoanieprzypisudolnego"/>
          <w:noProof/>
        </w:rPr>
        <w:footnoteReference w:id="22"/>
      </w:r>
      <w:r>
        <w:rPr>
          <w:rFonts w:ascii="Times New Roman" w:hAnsi="Times New Roman"/>
          <w:noProof/>
          <w:sz w:val="24"/>
        </w:rPr>
        <w:t>. Wniosek w sprawie norm emisji 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z samochodów ciężarowych, autobusów i autokarów stanowi istotne uzupełnienie ram</w:t>
      </w:r>
      <w:r>
        <w:rPr>
          <w:rFonts w:ascii="Times New Roman" w:hAnsi="Times New Roman"/>
          <w:noProof/>
          <w:sz w:val="24"/>
        </w:rPr>
        <w:t xml:space="preserve"> legislacyjnych dotyczących ograniczenia emisji gazów cieplarnianych z transportu drogowego. Stanowi on kontynuację wniosku w sprawie norm emisji 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dla samochodów osobowych i samochodów dostawczych po roku 2020, który to wniosek przyjęto w listopadzie 20</w:t>
      </w:r>
      <w:r>
        <w:rPr>
          <w:rFonts w:ascii="Times New Roman" w:hAnsi="Times New Roman"/>
          <w:noProof/>
          <w:sz w:val="24"/>
        </w:rPr>
        <w:t xml:space="preserve">17 r. jako część drugiego pakietu dotyczącego mobilności. 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Niniejszy wniosek ustawodawczy jest niezbędny do wsparcia wypełnienia zobowiązań UE w ramach porozumienia paryskiego i wdrożenia ram polityki klimatyczno-energetycznej do roku 2030. Emisje 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w se</w:t>
      </w:r>
      <w:r>
        <w:rPr>
          <w:rFonts w:ascii="Times New Roman" w:hAnsi="Times New Roman"/>
          <w:noProof/>
          <w:sz w:val="24"/>
        </w:rPr>
        <w:t>ktorze pojazdów ciężkich stanowią około jednej czwartej emisji z transportu drogowego i mają dalej wzrosnąć do 2030 r. Osiągnięcie w sposób racjonalny pod względem kosztów unijnych wartości docelowych ograniczenia emisji gazów cieplarnianych nie będzie moż</w:t>
      </w:r>
      <w:r>
        <w:rPr>
          <w:rFonts w:ascii="Times New Roman" w:hAnsi="Times New Roman"/>
          <w:noProof/>
          <w:sz w:val="24"/>
        </w:rPr>
        <w:t>liwe, jeżeli nie przyczyni się do tego sektor pojazdów ciężkich.</w:t>
      </w:r>
    </w:p>
    <w:p w:rsidR="00B154D1" w:rsidRDefault="00C61BEB">
      <w:pPr>
        <w:suppressAutoHyphens/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Przewoźnicy – w większości małe i średnie przedsiębiorstwa – mogą stracić korzyści wynikające z oszczędności paliwa. Chociaż w perspektywie długoterminowej skorzystaliby oni z ograniczenia wp</w:t>
      </w:r>
      <w:r>
        <w:rPr>
          <w:rFonts w:ascii="Times New Roman" w:hAnsi="Times New Roman"/>
          <w:noProof/>
          <w:sz w:val="24"/>
        </w:rPr>
        <w:t>ływu kosztów paliwa dzięki zakupieniu najwydajniejszych pojazdów, bariery rynkowe i regulacyjne powodują, że opłacalne i innowacyjne technologie nie są szeroko rozpowszechnione na rynku. Komisja proponuje obecnie zniesienie niektórych z tych barier oraz in</w:t>
      </w:r>
      <w:r>
        <w:rPr>
          <w:rFonts w:ascii="Times New Roman" w:hAnsi="Times New Roman"/>
          <w:noProof/>
          <w:sz w:val="24"/>
        </w:rPr>
        <w:t>ne instrumenty, takie jak dyrektywa w sprawie eurowiniety, dyrektywa w sprawie ekologicznie czystych pojazdów, plan działania w sprawie infrastruktury paliw alternatywnych, które Komisja niedawno zaproponowała w ramach dwóch poprzednich pakietów dotyczącyc</w:t>
      </w:r>
      <w:r>
        <w:rPr>
          <w:rFonts w:ascii="Times New Roman" w:hAnsi="Times New Roman"/>
          <w:noProof/>
          <w:sz w:val="24"/>
        </w:rPr>
        <w:t xml:space="preserve">h mobilności. </w:t>
      </w:r>
    </w:p>
    <w:p w:rsidR="00B154D1" w:rsidRDefault="00C61BEB">
      <w:pPr>
        <w:suppressAutoHyphens/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Unijni producenci i dostawcy części są narażeni na ryzyko utraty zajmowanej obecnie wiodącej pozycji w dziedzinie innowacyjnych technologii. Na istotnych rynkach – np. w Stanach Zjednoczonych, Kanadzie, Japonii, Chinach i Indiach – wprowadzono w ostatnich </w:t>
      </w:r>
      <w:r>
        <w:rPr>
          <w:rFonts w:ascii="Times New Roman" w:hAnsi="Times New Roman"/>
          <w:noProof/>
          <w:sz w:val="24"/>
        </w:rPr>
        <w:t>latach normy zużycia paliwa lub emisji w celu pobudzenia innowacji i szybkiej poprawy wydajności pojazdów. Wniosek Komisji zapewnia silny impuls dla prowadzonych przez UE działań innowacyjnych i inwestycji w obszarze technologii niskoemisyjnych w tym sekto</w:t>
      </w:r>
      <w:r>
        <w:rPr>
          <w:rFonts w:ascii="Times New Roman" w:hAnsi="Times New Roman"/>
          <w:noProof/>
          <w:sz w:val="24"/>
        </w:rPr>
        <w:t xml:space="preserve">rze. </w:t>
      </w:r>
    </w:p>
    <w:p w:rsidR="00B154D1" w:rsidRDefault="00C61BEB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uważa, że najwłaściwsze będzie przeprowadzenie regulacji emisji 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z pojazdów ciężkich poprzez zastosowanie podejścia stopniowego z wczesną klauzulą przeglądową. Celem prawodawstwa powinno być umożliwienie czerpania zysków z pierwszych korzy</w:t>
      </w:r>
      <w:r>
        <w:rPr>
          <w:rFonts w:ascii="Times New Roman" w:hAnsi="Times New Roman"/>
          <w:noProof/>
          <w:sz w:val="24"/>
        </w:rPr>
        <w:t>ści, które się pojawią, zapewniając szybkie wprowadzanie na rynek największych nowych samochodów ciężarowych opłacalnych i łatwo dostępnych technologii. Pierwszymi rodzajami pojazdów, w odniesieniu do których UE będzie posiadała od 2019 r. wiarygodne i pot</w:t>
      </w:r>
      <w:r>
        <w:rPr>
          <w:rFonts w:ascii="Times New Roman" w:hAnsi="Times New Roman"/>
          <w:noProof/>
          <w:sz w:val="24"/>
        </w:rPr>
        <w:t xml:space="preserve">wierdzone dane dotyczące emisji, są cztery główne grupy największych samochodów ciężarowych. Odpowiadają one za około 65–70 % całkowitych emisji gazów cieplarnianych z pojazdów ciężkich. </w:t>
      </w:r>
    </w:p>
    <w:p w:rsidR="00B154D1" w:rsidRDefault="00C61BEB">
      <w:pPr>
        <w:suppressAutoHyphens/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 przeglądzie w 2022 r., w ramach którego zostaną uwzględnione dane</w:t>
      </w:r>
      <w:r>
        <w:rPr>
          <w:rFonts w:ascii="Times New Roman" w:hAnsi="Times New Roman"/>
          <w:noProof/>
          <w:sz w:val="24"/>
        </w:rPr>
        <w:t xml:space="preserve"> z trzech lat oficjalnej certyfikacji, należy stopniowo wprowadzić rozwiązania wynikające z bardziej zaawansowanych technologii. Wartości docelowe emisji 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mogą zostać również zastosowane wobec innych rodzajów pojazdów, które nie zostały dotychczas objęt</w:t>
      </w:r>
      <w:r>
        <w:rPr>
          <w:rFonts w:ascii="Times New Roman" w:hAnsi="Times New Roman"/>
          <w:noProof/>
          <w:sz w:val="24"/>
        </w:rPr>
        <w:t xml:space="preserve">e niezbędnym prawodawstwem dotyczącym certyfikacji. Dotyczy to autobusów i autokarów, mniejszych ciężarówek i przyczep. </w:t>
      </w:r>
    </w:p>
    <w:p w:rsidR="00B154D1" w:rsidRDefault="00C61BEB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Wobec autobusów, w przypadku których istnieje największa dostępność niskoemisyjnych i bezemisyjnych mechanizmów napędowych, nie stosuje</w:t>
      </w:r>
      <w:r>
        <w:rPr>
          <w:rFonts w:ascii="Times New Roman" w:hAnsi="Times New Roman"/>
          <w:noProof/>
          <w:sz w:val="24"/>
        </w:rPr>
        <w:t xml:space="preserve"> się docelowych wartości ograniczania emisji określonych w tym pierwszym wniosku, ponieważ konieczne jest uprzednie opracowanie przepisów służących gromadzeniu i certyfikacji danych dotyczących emisji gazów cieplarnianych z tych pojazdów. Zmieniona dyrekty</w:t>
      </w:r>
      <w:r>
        <w:rPr>
          <w:rFonts w:ascii="Times New Roman" w:hAnsi="Times New Roman"/>
          <w:noProof/>
          <w:sz w:val="24"/>
        </w:rPr>
        <w:t>wa w sprawie ekologicznie czystych pojazdów oraz plan działania w sprawie infrastruktury paliw alternatywnych jednak już teraz zapewnią bezpośrednie wsparcie wprowadzania do miast autobusów niskoemisyjnych i bezemisyjnych w drodze zamówień publicznych. Zos</w:t>
      </w:r>
      <w:r>
        <w:rPr>
          <w:rFonts w:ascii="Times New Roman" w:hAnsi="Times New Roman"/>
          <w:noProof/>
          <w:sz w:val="24"/>
        </w:rPr>
        <w:t>tanie to uzupełnione środkami wspierającymi, których celem będzie przyśpieszenie rozmieszczenia infrastruktury paliw alternatywnych, jak określono w planie działania przyjętym w ramach drugiego pakietu dotyczącego mobilności. Co więcej, rozpoczęta przez Ko</w:t>
      </w:r>
      <w:r>
        <w:rPr>
          <w:rFonts w:ascii="Times New Roman" w:hAnsi="Times New Roman"/>
          <w:noProof/>
          <w:sz w:val="24"/>
        </w:rPr>
        <w:t>misję i poparta przez Komitet Regionów inicjatywa na rzecz ekologicznych autobusów również stanowi platformę umożliwiającą przyśpieszenie wprowadzania ekologicznych autobusów</w:t>
      </w:r>
      <w:r>
        <w:rPr>
          <w:rStyle w:val="Odwoanieprzypisudolnego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>.</w:t>
      </w:r>
    </w:p>
    <w:p w:rsidR="00B154D1" w:rsidRDefault="00C61BEB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Komisja wzywa Parlament Europejski i Radę do bezzwłocznego przyjęcia niniejszyc</w:t>
      </w:r>
      <w:r>
        <w:rPr>
          <w:rFonts w:ascii="Times New Roman" w:hAnsi="Times New Roman"/>
          <w:noProof/>
          <w:sz w:val="24"/>
        </w:rPr>
        <w:t>h przepisów, aby uniknąć zwiększania różnic między emisjami sektora pojazdów ciężkich i pozostałego transportu drogowego, aby umożliwić przedsiębiorstwom transportowym skorzystanie z niższych kosztów paliwa oraz aby upewnić się, że unijni producenci i dost</w:t>
      </w:r>
      <w:r>
        <w:rPr>
          <w:rFonts w:ascii="Times New Roman" w:hAnsi="Times New Roman"/>
          <w:noProof/>
          <w:sz w:val="24"/>
        </w:rPr>
        <w:t>awcy części pozostaną konkurencyjni w perspektywie długoterminowej.</w:t>
      </w:r>
    </w:p>
    <w:p w:rsidR="00B154D1" w:rsidRDefault="00C61BE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4.3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Nowa metoda porównywania cen paliwa skierowana do konsumentów</w:t>
      </w:r>
    </w:p>
    <w:p w:rsidR="00B154D1" w:rsidRDefault="00C61BEB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W związku z szybkim rozpowszechnieniem elektromobilności i pojazdów wykorzystujących szereg różnych paliw alternatywnych K</w:t>
      </w:r>
      <w:r>
        <w:rPr>
          <w:rFonts w:ascii="Times New Roman" w:hAnsi="Times New Roman"/>
          <w:noProof/>
          <w:sz w:val="24"/>
        </w:rPr>
        <w:t>omisja przedstawia metodę, która umożliwi użytkownikom proste porównanie cen różnych paliw</w:t>
      </w:r>
      <w:r>
        <w:rPr>
          <w:rStyle w:val="Odwoanieprzypisudolnego"/>
          <w:noProof/>
          <w:sz w:val="24"/>
        </w:rPr>
        <w:footnoteReference w:id="24"/>
      </w:r>
      <w:r>
        <w:rPr>
          <w:rFonts w:ascii="Times New Roman" w:hAnsi="Times New Roman"/>
          <w:noProof/>
          <w:sz w:val="24"/>
        </w:rPr>
        <w:t>. Pomoże to w zwiększeniu świadomości konsumentów – także podczas zakupu nowych pojazdów – oraz zwiększy przejrzystość cen paliwa i powinno się przyczynić do zwiększ</w:t>
      </w:r>
      <w:r>
        <w:rPr>
          <w:rFonts w:ascii="Times New Roman" w:hAnsi="Times New Roman"/>
          <w:noProof/>
          <w:sz w:val="24"/>
        </w:rPr>
        <w:t>enia dywersyfikacji źródeł energii w sektorze transportu i ograniczenia emisji CO</w:t>
      </w:r>
      <w:r>
        <w:rPr>
          <w:rFonts w:ascii="Times New Roman" w:hAnsi="Times New Roman"/>
          <w:noProof/>
          <w:sz w:val="24"/>
          <w:vertAlign w:val="subscript"/>
        </w:rPr>
        <w:t>2</w:t>
      </w:r>
      <w:r>
        <w:rPr>
          <w:rFonts w:ascii="Times New Roman" w:hAnsi="Times New Roman"/>
          <w:noProof/>
          <w:sz w:val="24"/>
        </w:rPr>
        <w:t xml:space="preserve"> i innych substancji zanieczyszczających w tym obszarze.</w:t>
      </w:r>
    </w:p>
    <w:p w:rsidR="00B154D1" w:rsidRDefault="00C61BE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4.4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Lepsze etykietowanie opon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W rozporządzeniu UE w sprawie etykietowania opon zachęcono do wykorzystywania bezpieczn</w:t>
      </w:r>
      <w:r>
        <w:rPr>
          <w:rFonts w:ascii="Times New Roman" w:hAnsi="Times New Roman"/>
          <w:noProof/>
          <w:sz w:val="24"/>
        </w:rPr>
        <w:t>ych opon pozwalających na obniżenie zużycia paliwa charakteryzujących się niskim zewnętrznym hałasem toczenia, aby zapewnić oszczędności paliwa oraz bezpieczeństwo transportu drogowego</w:t>
      </w:r>
      <w:r>
        <w:rPr>
          <w:rStyle w:val="Odwoanieprzypisudolnego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>. Rozporządzenie ma również na celu zapewnienie, aby standardowe etykie</w:t>
      </w:r>
      <w:r>
        <w:rPr>
          <w:rFonts w:ascii="Times New Roman" w:hAnsi="Times New Roman"/>
          <w:noProof/>
          <w:sz w:val="24"/>
        </w:rPr>
        <w:t>ty zawierały więcej informacji wpływających na decyzje podejmowane przez konsumentów przy zakupie opon. Ponieważ opony mogą odpowiadać za zmianę w zużyciu paliwa przez pojazd na poziomie 20–30 %, ich wydajność ma duże znaczenie dla efektywności paliwowej i</w:t>
      </w:r>
      <w:r>
        <w:rPr>
          <w:rFonts w:ascii="Times New Roman" w:hAnsi="Times New Roman"/>
          <w:noProof/>
          <w:sz w:val="24"/>
        </w:rPr>
        <w:t> emisji pojazdów.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Celem wniosku Komisji jest wzmocnienie przedmiotowego rozporządzenia i zwiększenie jego skuteczności</w:t>
      </w:r>
      <w:r>
        <w:rPr>
          <w:rStyle w:val="Odwoanieprzypisudolnego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>. W szczególności ma on na celu zapewnienie, aby konsumenci wyraźnie widzieli etykiety przy zakupie opon. Oznacza to również, że potencja</w:t>
      </w:r>
      <w:r>
        <w:rPr>
          <w:rFonts w:ascii="Times New Roman" w:hAnsi="Times New Roman"/>
          <w:noProof/>
          <w:sz w:val="24"/>
        </w:rPr>
        <w:t>lni kupujący będą mogli rozpoznać etykietę lub zrozumieć oznaczenia dotyczące wydajności, na przykład pod względem dokładności i niezawodności. Rozporządzenie ma również na celu rozszerzenie zakresu parametrów wydajności znajdujących się na etykiecie o now</w:t>
      </w:r>
      <w:r>
        <w:rPr>
          <w:rFonts w:ascii="Times New Roman" w:hAnsi="Times New Roman"/>
          <w:noProof/>
          <w:sz w:val="24"/>
        </w:rPr>
        <w:t>e elementy i docelowo uwzględnienie w większym stopniu innych priorytetów politycznych UE, takich jak strategia gospodarki o obiegu zamkniętym. Rozporządzenie wzmacnia ponadto egzekwowanie przepisów dotyczących nadzoru rynkowego.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4.5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 xml:space="preserve">Wymogi dotyczące </w:t>
      </w:r>
      <w:r>
        <w:rPr>
          <w:rFonts w:ascii="Times New Roman" w:hAnsi="Times New Roman"/>
          <w:b/>
          <w:noProof/>
          <w:sz w:val="24"/>
        </w:rPr>
        <w:t>projektowania samochodów ciężarowych mające na celu ograniczenie emisji CO</w:t>
      </w:r>
      <w:r>
        <w:rPr>
          <w:rFonts w:ascii="Times New Roman" w:hAnsi="Times New Roman"/>
          <w:b/>
          <w:noProof/>
          <w:sz w:val="24"/>
          <w:vertAlign w:val="subscript"/>
        </w:rPr>
        <w:t>2</w:t>
      </w:r>
      <w:r>
        <w:rPr>
          <w:rFonts w:ascii="Times New Roman" w:hAnsi="Times New Roman"/>
          <w:b/>
          <w:noProof/>
          <w:sz w:val="24"/>
        </w:rPr>
        <w:t xml:space="preserve"> i poprawę bezpieczeństwa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NewRoman" w:hAnsi="TimesNewRoman"/>
          <w:noProof/>
          <w:sz w:val="24"/>
        </w:rPr>
        <w:t>Wydajność aerodynamiczna pojazdów ma bezpośredni wpływ na emisje CO</w:t>
      </w:r>
      <w:r>
        <w:rPr>
          <w:rFonts w:ascii="TimesNewRoman" w:hAnsi="TimesNewRoman"/>
          <w:noProof/>
          <w:sz w:val="24"/>
          <w:vertAlign w:val="subscript"/>
        </w:rPr>
        <w:t>2</w:t>
      </w:r>
      <w:r>
        <w:rPr>
          <w:rFonts w:ascii="TimesNewRoman" w:hAnsi="TimesNewRoman"/>
          <w:noProof/>
          <w:sz w:val="24"/>
        </w:rPr>
        <w:t>. W związku z tym Komisja proponuje zmianę przepisów dotyczących mas i wymiarów określo</w:t>
      </w:r>
      <w:r>
        <w:rPr>
          <w:rFonts w:ascii="TimesNewRoman" w:hAnsi="TimesNewRoman"/>
          <w:noProof/>
          <w:sz w:val="24"/>
        </w:rPr>
        <w:t>nych pojazdów drogowych w celu przyśpieszenia o trzy lata do 2019 r. terminu, w którym producenci będą mogli wprowadzać na rynek nowe pojazdy ciężarowe o bardziej zaokrąglonych i aerodynamicznych kabinach</w:t>
      </w:r>
      <w:r>
        <w:rPr>
          <w:rStyle w:val="Odwoanieprzypisudolnego"/>
          <w:noProof/>
          <w:sz w:val="24"/>
        </w:rPr>
        <w:footnoteReference w:id="27"/>
      </w:r>
      <w:r>
        <w:rPr>
          <w:rFonts w:ascii="TimesNewRoman" w:hAnsi="TimesNewRoman"/>
          <w:noProof/>
          <w:sz w:val="24"/>
        </w:rPr>
        <w:t>. Wraz z wnioskiem Komisji w sprawie wprowadzenia n</w:t>
      </w:r>
      <w:r>
        <w:rPr>
          <w:rFonts w:ascii="TimesNewRoman" w:hAnsi="TimesNewRoman"/>
          <w:noProof/>
          <w:sz w:val="24"/>
        </w:rPr>
        <w:t>orm CO</w:t>
      </w:r>
      <w:r>
        <w:rPr>
          <w:rFonts w:ascii="TimesNewRoman" w:hAnsi="TimesNewRoman"/>
          <w:noProof/>
          <w:sz w:val="24"/>
          <w:vertAlign w:val="subscript"/>
        </w:rPr>
        <w:t>2</w:t>
      </w:r>
      <w:r>
        <w:rPr>
          <w:rFonts w:ascii="TimesNewRoman" w:hAnsi="TimesNewRoman"/>
          <w:noProof/>
          <w:sz w:val="24"/>
        </w:rPr>
        <w:t xml:space="preserve"> dla pojazdów ciężarowych wniosek ten ma przyczynić się do ograniczenia emisji CO</w:t>
      </w:r>
      <w:r>
        <w:rPr>
          <w:rFonts w:ascii="TimesNewRoman" w:hAnsi="TimesNewRoman"/>
          <w:noProof/>
          <w:sz w:val="24"/>
          <w:vertAlign w:val="subscript"/>
        </w:rPr>
        <w:t>2</w:t>
      </w:r>
      <w:r>
        <w:rPr>
          <w:rFonts w:ascii="TimesNewRoman" w:hAnsi="TimesNewRoman"/>
          <w:noProof/>
          <w:sz w:val="24"/>
        </w:rPr>
        <w:t xml:space="preserve"> pochodzących z transportu, co będzie korzystne dla środowiska. Kolejnym celem jest poprawa bezpieczeństwa pozostałych użytkowników dróg oraz widoczności i komfortu ki</w:t>
      </w:r>
      <w:r>
        <w:rPr>
          <w:rFonts w:ascii="TimesNewRoman" w:hAnsi="TimesNewRoman"/>
          <w:noProof/>
          <w:sz w:val="24"/>
        </w:rPr>
        <w:t>erowców, przy jednoczesnym stałym ułatwianiu transportu intermodalnego.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4.6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Zmiana ram opodatkowania energii w celu promowania elektromobilności</w:t>
      </w:r>
    </w:p>
    <w:p w:rsidR="00B154D1" w:rsidRDefault="00C61BEB">
      <w:pPr>
        <w:spacing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Chociaż kompleksowy przegląd dyrektywy w sprawie opodatkowania energii nie będzie częścią niniejszego pakietu, </w:t>
      </w:r>
      <w:r>
        <w:rPr>
          <w:rFonts w:ascii="Times New Roman" w:hAnsi="Times New Roman"/>
          <w:noProof/>
          <w:sz w:val="24"/>
        </w:rPr>
        <w:t>Komisja będzie dalej szukać sposobów promowania elektromobilności w kontekście przyszłej rewizji dyrektywy. Co więcej, podejście oparte na określaniu na szczeblu UE jedynie minimalnych stawek opodatkowania już teraz pozwala państwom członkowskim – nawet be</w:t>
      </w:r>
      <w:r>
        <w:rPr>
          <w:rFonts w:ascii="Times New Roman" w:hAnsi="Times New Roman"/>
          <w:noProof/>
          <w:sz w:val="24"/>
        </w:rPr>
        <w:t>z potrzeby wprowadzania zmian w przepisach unijnych – dostosować stawki w celu wspierania mobilności niskoemisyjnej. Państwa członkowskie powinny w szczególności dokonać przeglądu obowiązującego obecnie preferencyjnego traktowania oleju napędowego do silni</w:t>
      </w:r>
      <w:r>
        <w:rPr>
          <w:rFonts w:ascii="Times New Roman" w:hAnsi="Times New Roman"/>
          <w:noProof/>
          <w:sz w:val="24"/>
        </w:rPr>
        <w:t>ków wysokoprężnych.</w:t>
      </w:r>
    </w:p>
    <w:p w:rsidR="00B154D1" w:rsidRDefault="00C61BEB">
      <w:pPr>
        <w:spacing w:line="240" w:lineRule="auto"/>
        <w:ind w:left="720" w:hanging="720"/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4.7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Usprawnienie wdrożenia transeuropejskiej bazowej sieci transportowej w celu zapewnienia mobilności niskoemisyjnej</w:t>
      </w:r>
    </w:p>
    <w:p w:rsidR="00B154D1" w:rsidRDefault="00C61B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Infrastruktura stanowi niezbędne narzędzie służące wprowadzaniu czystych, bezpiecznych, cyfrowych i opartych na sieci </w:t>
      </w:r>
      <w:r>
        <w:rPr>
          <w:rFonts w:ascii="Times New Roman" w:hAnsi="Times New Roman"/>
          <w:noProof/>
          <w:sz w:val="24"/>
        </w:rPr>
        <w:t>rozwiązań w systemie transportowym. Transeuropejska sieć transportowa stanowi podstawę europejskiej infrastruktury transportowej. Celem Komisji jest zapewnienie, aby sieć ta cechowała się wydajnością, była inteligentna, bezpieczna i miała zrównoważony char</w:t>
      </w:r>
      <w:r>
        <w:rPr>
          <w:rFonts w:ascii="Times New Roman" w:hAnsi="Times New Roman"/>
          <w:noProof/>
          <w:sz w:val="24"/>
        </w:rPr>
        <w:t>akter. Ma ona znaczny wpływ na wzorce mobilności towarów i pasażerów, ponieważ określa wspólne wymogi, generuje projekty infrastrukturalne wysokiej jakości i pobudza innowacyjność. W związku z tym w niniejszym „trzecim pakiecie dotyczącym mobilności” zawar</w:t>
      </w:r>
      <w:r>
        <w:rPr>
          <w:rFonts w:ascii="Times New Roman" w:hAnsi="Times New Roman"/>
          <w:noProof/>
          <w:sz w:val="24"/>
        </w:rPr>
        <w:t>to wniosek w sprawie rozporządzenia mającego na celu ułatwienie wdrażania transeuropejskiej bazowej sieci transportowej i promowanie multimodalności. Proponowane środki służą uproszczeniu wydawania pozwoleń, udzielania zamówień publicznych i innych procedu</w:t>
      </w:r>
      <w:r>
        <w:rPr>
          <w:rFonts w:ascii="Times New Roman" w:hAnsi="Times New Roman"/>
          <w:noProof/>
          <w:sz w:val="24"/>
        </w:rPr>
        <w:t>r administracyjnych w celu stworzenia sprawniejszego procesu, zapewnienia większej przejrzystości i uzyskania większej akceptacji społecznej. Niniejszy wniosek posłuży zatem jako katalizator dla czystszej, bezpieczniejszej mobilności, która jest w większym</w:t>
      </w:r>
      <w:r>
        <w:rPr>
          <w:rFonts w:ascii="Times New Roman" w:hAnsi="Times New Roman"/>
          <w:noProof/>
          <w:sz w:val="24"/>
        </w:rPr>
        <w:t xml:space="preserve"> stopniu oparta na sieci, dzięki priorytetowemu potraktowaniu wydawania zezwoleń na realizację powiązanych projektów w ramach transeuropejskiej bazowej sieci transportowej.</w:t>
      </w:r>
      <w:r>
        <w:rPr>
          <w:rStyle w:val="Odwoanieprzypisudolnego"/>
          <w:noProof/>
        </w:rPr>
        <w:t xml:space="preserve"> </w:t>
      </w:r>
      <w:r>
        <w:rPr>
          <w:rStyle w:val="Odwoanieprzypisudolnego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 xml:space="preserve"> </w:t>
      </w:r>
    </w:p>
    <w:p w:rsidR="00B154D1" w:rsidRDefault="00C61B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Ponadto niniejszemu pakietowi będzie towarzyszyć zaproszenie do składania wniosk</w:t>
      </w:r>
      <w:r>
        <w:rPr>
          <w:rFonts w:ascii="Times New Roman" w:hAnsi="Times New Roman"/>
          <w:noProof/>
          <w:sz w:val="24"/>
        </w:rPr>
        <w:t>ów w ramach instrumentu „Łącząc Europę”. Inwestorzy uzyskają dostęp do dotacji UE o wartości 450 mln EUR na inwestycje w projekty, które przyczynią się bezpośrednio do zwiększenia bezpieczeństwa na drogach, cyfryzacji i multimodalności w sektorze transport</w:t>
      </w:r>
      <w:r>
        <w:rPr>
          <w:rFonts w:ascii="Times New Roman" w:hAnsi="Times New Roman"/>
          <w:noProof/>
          <w:sz w:val="24"/>
        </w:rPr>
        <w:t>u.</w:t>
      </w:r>
    </w:p>
    <w:p w:rsidR="00B154D1" w:rsidRDefault="00C61BE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5.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WNIOSKI</w:t>
      </w:r>
    </w:p>
    <w:p w:rsidR="00B154D1" w:rsidRDefault="00C61B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Niniejszym trzecim pakietem „Europa w ruchu” Komisja uzupełnia szeroki zbiór wniosków ustawodawczych i środków wspomagających, które składają się na kompleksowe, zintegrowane i przyszłościowe podejście mające na celu zapewnienie obywatelom UE</w:t>
      </w:r>
      <w:r>
        <w:rPr>
          <w:rFonts w:ascii="Times New Roman" w:hAnsi="Times New Roman"/>
          <w:noProof/>
          <w:sz w:val="24"/>
        </w:rPr>
        <w:t xml:space="preserve"> czystej, opartej na sieci i konkurencyjnej mobilności. Cyfryzacja, obniżanie emisyjności i innowacyjność świadczą o tym, że mobilność znajduje się w punkcie zwrotnym. UE musi wykorzystać wynikające z nich nowe możliwości, jednocześnie zachowując odpowiedn</w:t>
      </w:r>
      <w:r>
        <w:rPr>
          <w:rFonts w:ascii="Times New Roman" w:hAnsi="Times New Roman"/>
          <w:noProof/>
          <w:sz w:val="24"/>
        </w:rPr>
        <w:t xml:space="preserve">ią gotowość do dostosowania się do licznych wyzwań w okresie przejściowym. Mobilność stanowi fundament swobody przemieszczania ludzi i towarów, która jest podstawą sprawnego funkcjonowania Unii Europejskiej. W związku z tym istotne jest, abyśmy zajęli się </w:t>
      </w:r>
      <w:r>
        <w:rPr>
          <w:rFonts w:ascii="Times New Roman" w:hAnsi="Times New Roman"/>
          <w:noProof/>
          <w:sz w:val="24"/>
        </w:rPr>
        <w:t xml:space="preserve">tą kwestią w odpowiedni sposób i aby UE – a w szczególności istotne unijne gałęzie przemysłu zajmujące się mobilnością – była w stanie zachować wiodącą pozycję w tym kluczowym dla gospodarki i społeczeństwa sektorze, utrzymać w przyszłości konkurencyjność </w:t>
      </w:r>
      <w:r>
        <w:rPr>
          <w:rFonts w:ascii="Times New Roman" w:hAnsi="Times New Roman"/>
          <w:noProof/>
          <w:sz w:val="24"/>
        </w:rPr>
        <w:t>oraz zapewnić, aby usługi w zakresie mobilności były bezpieczne, czyste i zrównoważone. W związku z tym Komisja wzywa współprawodawców do szybkiego przyjęcia tych wniosków ustawodawczych w obecnej kadencji Parlamentu i tym samym zagwarantowania, by „Europa</w:t>
      </w:r>
      <w:r>
        <w:rPr>
          <w:rFonts w:ascii="Times New Roman" w:hAnsi="Times New Roman"/>
          <w:noProof/>
          <w:sz w:val="24"/>
        </w:rPr>
        <w:t xml:space="preserve"> była w ruchu”.</w:t>
      </w:r>
    </w:p>
    <w:sectPr w:rsidR="00B154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D1" w:rsidRDefault="00C61BEB">
      <w:pPr>
        <w:spacing w:after="0" w:line="240" w:lineRule="auto"/>
      </w:pPr>
      <w:r>
        <w:separator/>
      </w:r>
    </w:p>
  </w:endnote>
  <w:endnote w:type="continuationSeparator" w:id="0">
    <w:p w:rsidR="00B154D1" w:rsidRDefault="00C6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D1" w:rsidRDefault="00C61BEB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D1" w:rsidRDefault="00B154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00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154D1" w:rsidRDefault="00C61BEB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D1" w:rsidRDefault="00B15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D1" w:rsidRDefault="00C61BEB">
      <w:pPr>
        <w:spacing w:after="0" w:line="240" w:lineRule="auto"/>
      </w:pPr>
      <w:r>
        <w:separator/>
      </w:r>
    </w:p>
  </w:footnote>
  <w:footnote w:type="continuationSeparator" w:id="0">
    <w:p w:rsidR="00B154D1" w:rsidRDefault="00C61BEB">
      <w:pPr>
        <w:spacing w:after="0" w:line="240" w:lineRule="auto"/>
      </w:pPr>
      <w:r>
        <w:continuationSeparator/>
      </w:r>
    </w:p>
  </w:footnote>
  <w:footnote w:id="1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 xml:space="preserve">COM(2016) 501. </w:t>
      </w:r>
    </w:p>
  </w:footnote>
  <w:footnote w:id="2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tab/>
      </w:r>
      <w:r>
        <w:rPr>
          <w:rFonts w:ascii="Times New Roman" w:hAnsi="Times New Roman"/>
        </w:rPr>
        <w:t>COM(2017) 283, COM(2017) 675.</w:t>
      </w:r>
    </w:p>
  </w:footnote>
  <w:footnote w:id="3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COM(2017) 479.</w:t>
      </w:r>
    </w:p>
  </w:footnote>
  <w:footnote w:id="4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 xml:space="preserve">Konkluzje Rady w sprawie bezpieczeństwa ruchu drogowego, 8 czerwca 2017 r., </w:t>
      </w:r>
      <w:hyperlink r:id="rId1">
        <w:r>
          <w:rPr>
            <w:rStyle w:val="Hipercze"/>
            <w:rFonts w:ascii="Times New Roman" w:hAnsi="Times New Roman"/>
          </w:rPr>
          <w:t>http://data.consilium.europa.eu/doc/document/ST-9994-2017-INIT/pl/pdf</w:t>
        </w:r>
      </w:hyperlink>
      <w:r>
        <w:rPr>
          <w:rFonts w:ascii="Times New Roman" w:hAnsi="Times New Roman"/>
        </w:rPr>
        <w:t xml:space="preserve"> </w:t>
      </w:r>
    </w:p>
  </w:footnote>
  <w:footnote w:id="5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„W kierunku europejskiego obszaru bezpieczeństwa ruchu drogowego: kierunki polityki bezpieczeńst</w:t>
      </w:r>
      <w:r>
        <w:rPr>
          <w:rFonts w:ascii="Times New Roman" w:hAnsi="Times New Roman"/>
        </w:rPr>
        <w:t>wa ruchu drogowego na lata 2011–2020” COM(2010) 389 final. Biała księga – Plan utworzenia jednolitego europejskiego obszaru transportu – dążenie do osiągnięcia konkurencyjnego i zasobooszczędnego systemu transportu COM(2011) 144.</w:t>
      </w:r>
    </w:p>
  </w:footnote>
  <w:footnote w:id="6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  <w:t>Konkluzje Rady w sprawie</w:t>
      </w:r>
      <w:r>
        <w:t xml:space="preserve"> bezpieczeństwa ruchu drogowego, 8 czerwca 2017 r., </w:t>
      </w:r>
      <w:hyperlink r:id="rId2">
        <w:r>
          <w:rPr>
            <w:rStyle w:val="Hipercze"/>
            <w:rFonts w:ascii="Times New Roman" w:hAnsi="Times New Roman"/>
          </w:rPr>
          <w:t>http://data.consilium.europa.eu/doc/document/ST-9994-2017-INIT/pl/pdf</w:t>
        </w:r>
      </w:hyperlink>
      <w:r>
        <w:rPr>
          <w:rFonts w:ascii="Times New Roman" w:hAnsi="Times New Roman"/>
        </w:rPr>
        <w:t xml:space="preserve"> </w:t>
      </w:r>
    </w:p>
  </w:footnote>
  <w:footnote w:id="7">
    <w:p w:rsidR="00B154D1" w:rsidRDefault="00C61BEB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  <w:sz w:val="20"/>
        </w:rPr>
        <w:t xml:space="preserve">Rozporządzenie (UE) 2015/758 oraz </w:t>
      </w:r>
      <w:hyperlink r:id="rId3" w:tooltip="Decyzja nr 585/2014/UE.">
        <w:r>
          <w:rPr>
            <w:rFonts w:ascii="Times New Roman" w:hAnsi="Times New Roman"/>
            <w:sz w:val="20"/>
          </w:rPr>
          <w:t>decyzja nr 585/2014/UE</w:t>
        </w:r>
      </w:hyperlink>
      <w:r>
        <w:rPr>
          <w:rFonts w:ascii="Times New Roman" w:hAnsi="Times New Roman"/>
          <w:sz w:val="20"/>
        </w:rPr>
        <w:t xml:space="preserve">. </w:t>
      </w:r>
    </w:p>
  </w:footnote>
  <w:footnote w:id="8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Automatyzacja wpływa na wszystkie rodzaje transportu (transport wodny, lotniczy, kolejowy i drogowy), transport pa</w:t>
      </w:r>
      <w:r>
        <w:rPr>
          <w:rFonts w:ascii="Times New Roman" w:hAnsi="Times New Roman"/>
        </w:rPr>
        <w:t xml:space="preserve">sażerski i towarowy, transport publiczny i indywidualny, jednak dla ogółu społeczeństwa największy wpływ zapewne będzie mieć automatyzacja transportu drogowego. </w:t>
      </w:r>
    </w:p>
  </w:footnote>
  <w:footnote w:id="9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 xml:space="preserve">Badanie Komisji (2018): </w:t>
      </w:r>
      <w:hyperlink r:id="rId4">
        <w:r>
          <w:rPr>
            <w:rStyle w:val="Hipercze"/>
            <w:rFonts w:ascii="Times New Roman" w:hAnsi="Times New Roman"/>
          </w:rPr>
          <w:t>https://ec.europa.eu/jrc/en/publication/eur-scientific-and-technical-research-reports/analysis-possible-socio-economic-ef</w:t>
        </w:r>
        <w:r>
          <w:rPr>
            <w:rStyle w:val="Hipercze"/>
            <w:rFonts w:ascii="Times New Roman" w:hAnsi="Times New Roman"/>
          </w:rPr>
          <w:t>fects-connected-cooperative-and-automated-mobility-CCAM-Europe</w:t>
        </w:r>
      </w:hyperlink>
    </w:p>
  </w:footnote>
  <w:footnote w:id="10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Sprawozdanie Komisji „Ratowanie życia: zwiększanie bezpieczeństwa samochodowego w UE”, COM(2016) 787.</w:t>
      </w:r>
    </w:p>
  </w:footnote>
  <w:footnote w:id="11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hyperlink r:id="rId5">
        <w:r>
          <w:rPr>
            <w:rStyle w:val="Hipercze"/>
            <w:rFonts w:ascii="Times New Roman" w:hAnsi="Times New Roman"/>
          </w:rPr>
          <w:t>https://eur-lex.europa.eu/legal-content/PL/TXT/?uri=CELEX:52016DC0766</w:t>
        </w:r>
      </w:hyperlink>
    </w:p>
  </w:footnote>
  <w:footnote w:id="12">
    <w:p w:rsidR="00B154D1" w:rsidRDefault="00C61BEB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hyperlink r:id="rId6">
        <w:r>
          <w:rPr>
            <w:rStyle w:val="Hipercze"/>
            <w:rFonts w:ascii="Times New Roman" w:hAnsi="Times New Roman"/>
          </w:rPr>
          <w:t>https://eur-lex.europa.eu/legal-content/PL/TXT/?uri=CELEX:52016DC0588</w:t>
        </w:r>
      </w:hyperlink>
      <w:r>
        <w:rPr>
          <w:rFonts w:ascii="Times New Roman" w:hAnsi="Times New Roman"/>
        </w:rPr>
        <w:t xml:space="preserve"> </w:t>
      </w:r>
    </w:p>
  </w:footnote>
  <w:footnote w:id="13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hyperlink r:id="rId7">
        <w:r>
          <w:rPr>
            <w:rStyle w:val="Hipercze"/>
            <w:rFonts w:ascii="Times New Roman" w:hAnsi="Times New Roman"/>
          </w:rPr>
          <w:t>http://ec.europa.eu/research/index.cfm?pg=newsalert&amp;year=2017&amp;na=na-030417</w:t>
        </w:r>
      </w:hyperlink>
      <w:r>
        <w:rPr>
          <w:rFonts w:ascii="Times New Roman" w:hAnsi="Times New Roman"/>
        </w:rPr>
        <w:t xml:space="preserve"> </w:t>
      </w:r>
    </w:p>
  </w:footnote>
  <w:footnote w:id="14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hyperlink r:id="rId8">
        <w:r>
          <w:rPr>
            <w:rStyle w:val="Hipercze"/>
            <w:rFonts w:ascii="Times New Roman" w:hAnsi="Times New Roman"/>
          </w:rPr>
          <w:t>https://www.regjeringen.no/contentassets/ba7ab6e2a0e14e39baa77f5b76f59d14/2016-04-08-declaration-of-amsterdam---final1400661.pdf</w:t>
        </w:r>
      </w:hyperlink>
      <w:r>
        <w:rPr>
          <w:rStyle w:val="Hipercze"/>
          <w:rFonts w:ascii="Times New Roman" w:hAnsi="Times New Roman"/>
        </w:rPr>
        <w:t xml:space="preserve"> </w:t>
      </w:r>
    </w:p>
  </w:footnote>
  <w:footnote w:id="15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Zob. również komunikat w sprawie sztucznej inteligencji dla Europy (COM(2018) 23</w:t>
      </w:r>
      <w:r>
        <w:rPr>
          <w:rFonts w:ascii="Times New Roman" w:hAnsi="Times New Roman"/>
        </w:rPr>
        <w:t>7) oraz dokument roboczy służb Komisji dotyczący odpowiedzialności za nowe technologie cyfrowe (SWD(2018) 137).</w:t>
      </w:r>
    </w:p>
  </w:footnote>
  <w:footnote w:id="16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 xml:space="preserve">COM(2018) 283. </w:t>
      </w:r>
    </w:p>
  </w:footnote>
  <w:footnote w:id="17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COM(2018) 278 i COM(2018) 279.</w:t>
      </w:r>
    </w:p>
  </w:footnote>
  <w:footnote w:id="18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 xml:space="preserve">Zostały one również określone jako jeden z priorytetowych obszarów interwencji w sprawozdaniu grupy wysokiego szczebla GEAR 2030 dotyczącym przyszłości przemysłu motoryzacyjnego. </w:t>
      </w:r>
      <w:hyperlink r:id="rId9">
        <w:r>
          <w:rPr>
            <w:rStyle w:val="Hipercze"/>
            <w:rFonts w:ascii="Times New Roman" w:hAnsi="Times New Roman"/>
          </w:rPr>
          <w:t>https://ec.europa.eu/docsroom/documents/26081/attachments/1/translations/en/renditions/native</w:t>
        </w:r>
      </w:hyperlink>
    </w:p>
  </w:footnote>
  <w:footnote w:id="19">
    <w:p w:rsidR="00B154D1" w:rsidRDefault="00C61BEB">
      <w:pPr>
        <w:pStyle w:val="Tekstprzypisudolnego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Źródło: Europejski Instytut Innowacji i Technologii Inno-energy</w:t>
      </w:r>
      <w:r>
        <w:t xml:space="preserve"> </w:t>
      </w:r>
      <w:hyperlink r:id="rId10">
        <w:r>
          <w:rPr>
            <w:rStyle w:val="Hipercze"/>
            <w:rFonts w:ascii="Times New Roman" w:hAnsi="Times New Roman"/>
          </w:rPr>
          <w:t>http://www.innoenergy.com/</w:t>
        </w:r>
      </w:hyperlink>
      <w:r>
        <w:rPr>
          <w:rFonts w:ascii="Times New Roman" w:hAnsi="Times New Roman"/>
        </w:rPr>
        <w:t xml:space="preserve"> </w:t>
      </w:r>
    </w:p>
  </w:footnote>
  <w:footnote w:id="20">
    <w:p w:rsidR="00B154D1" w:rsidRDefault="00C61BEB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Style w:val="Odwoanieprzypisudolnego"/>
          <w:sz w:val="20"/>
        </w:rPr>
        <w:footnoteRef/>
      </w:r>
      <w:r>
        <w:tab/>
      </w:r>
      <w:hyperlink r:id="rId11">
        <w:r>
          <w:rPr>
            <w:rStyle w:val="Hipercze"/>
            <w:rFonts w:ascii="Times New Roman" w:hAnsi="Times New Roman"/>
          </w:rPr>
          <w:t>https://ec.europa.eu/growth/industry/policy/european-battery-alliance_pl</w:t>
        </w:r>
      </w:hyperlink>
    </w:p>
  </w:footnote>
  <w:footnote w:id="21">
    <w:p w:rsidR="00B154D1" w:rsidRDefault="00C61BEB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Ponad 120 podmiotów z obszarów przemysłu i innowacji wniosł</w:t>
      </w:r>
      <w:r>
        <w:rPr>
          <w:rFonts w:ascii="Times New Roman" w:hAnsi="Times New Roman"/>
        </w:rPr>
        <w:t xml:space="preserve">o wkład w ten plan i wspólnie poparło zalecenia dotyczące działań priorytetowych, które podmioty te zaczynają realizować. </w:t>
      </w:r>
      <w:hyperlink r:id="rId12">
        <w:r>
          <w:rPr>
            <w:rStyle w:val="Hipercze"/>
            <w:rFonts w:ascii="Times New Roman" w:hAnsi="Times New Roman"/>
          </w:rPr>
          <w:t>http://www.innoenergy.com/eit-</w:t>
        </w:r>
        <w:r>
          <w:rPr>
            <w:rStyle w:val="Hipercze"/>
            <w:rFonts w:ascii="Times New Roman" w:hAnsi="Times New Roman"/>
          </w:rPr>
          <w:t>innoenergys-role-within-the-european-battery-alliance/</w:t>
        </w:r>
      </w:hyperlink>
    </w:p>
  </w:footnote>
  <w:footnote w:id="22">
    <w:p w:rsidR="00B154D1" w:rsidRDefault="00C61BEB">
      <w:pPr>
        <w:pStyle w:val="Tekstprzypisudolnego"/>
        <w:tabs>
          <w:tab w:val="left" w:pos="284"/>
        </w:tabs>
        <w:ind w:left="284" w:hanging="284"/>
        <w:rPr>
          <w:rFonts w:ascii="Times New Roman" w:hAnsi="Times New Roman" w:cs="Times New Roman"/>
          <w:lang w:val="pt-PT"/>
        </w:rPr>
      </w:pPr>
      <w:r>
        <w:rPr>
          <w:rStyle w:val="Odwoanieprzypisudolnego"/>
          <w:sz w:val="20"/>
        </w:rPr>
        <w:footnoteRef/>
      </w:r>
      <w:r>
        <w:rPr>
          <w:lang w:val="pt-PT"/>
        </w:rPr>
        <w:tab/>
      </w:r>
      <w:r>
        <w:rPr>
          <w:rFonts w:ascii="Times New Roman" w:hAnsi="Times New Roman"/>
          <w:lang w:val="pt-PT"/>
        </w:rPr>
        <w:t>COM(2016) 501.</w:t>
      </w:r>
    </w:p>
  </w:footnote>
  <w:footnote w:id="23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  <w:lang w:val="pt-PT"/>
        </w:rPr>
      </w:pPr>
      <w:r>
        <w:rPr>
          <w:rStyle w:val="Odwoanieprzypisudolnego"/>
          <w:sz w:val="20"/>
        </w:rPr>
        <w:footnoteRef/>
      </w:r>
      <w:r>
        <w:rPr>
          <w:lang w:val="pt-PT"/>
        </w:rPr>
        <w:tab/>
      </w:r>
      <w:hyperlink r:id="rId13">
        <w:r>
          <w:rPr>
            <w:rStyle w:val="Hipercze"/>
            <w:rFonts w:ascii="Times New Roman" w:hAnsi="Times New Roman"/>
            <w:lang w:val="pt-PT"/>
          </w:rPr>
          <w:t>https://ec.europa.eu/transport/themes/urban/cleanbus_en</w:t>
        </w:r>
      </w:hyperlink>
      <w:r>
        <w:rPr>
          <w:rFonts w:ascii="Times New Roman" w:hAnsi="Times New Roman"/>
          <w:lang w:val="pt-PT"/>
        </w:rPr>
        <w:t xml:space="preserve"> </w:t>
      </w:r>
    </w:p>
  </w:footnote>
  <w:footnote w:id="24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 xml:space="preserve">Na podstawie art. 7 ust. 3 dyrektywy 2014/94/UE </w:t>
      </w:r>
      <w:r>
        <w:rPr>
          <w:rFonts w:ascii="Times New Roman" w:hAnsi="Times New Roman"/>
        </w:rPr>
        <w:t xml:space="preserve">– rozporządzenie wykonawcze Komisji w sprawie wspólnej metodyki porównywania ceny jednostkowej paliw alternatywnych zgodnie z dyrektywą Parlamentu Europejskiego i Rady 2014/94/UE, C(2018)2751. </w:t>
      </w:r>
    </w:p>
  </w:footnote>
  <w:footnote w:id="25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 xml:space="preserve">Rozporządzenie 1222/2009. </w:t>
      </w:r>
    </w:p>
  </w:footnote>
  <w:footnote w:id="26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COM(2018) 296.</w:t>
      </w:r>
    </w:p>
  </w:footnote>
  <w:footnote w:id="27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Dyrektywa (UE)</w:t>
      </w:r>
      <w:r>
        <w:rPr>
          <w:rFonts w:ascii="Times New Roman" w:hAnsi="Times New Roman"/>
        </w:rPr>
        <w:t xml:space="preserve"> 2015/719. COM(2018) 275. </w:t>
      </w:r>
    </w:p>
  </w:footnote>
  <w:footnote w:id="28">
    <w:p w:rsidR="00B154D1" w:rsidRDefault="00C61BEB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20"/>
        </w:rPr>
        <w:footnoteRef/>
      </w:r>
      <w:r>
        <w:tab/>
      </w:r>
      <w:r>
        <w:rPr>
          <w:rFonts w:ascii="Times New Roman" w:hAnsi="Times New Roman"/>
        </w:rPr>
        <w:t>COM(2018) 277.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D1" w:rsidRDefault="00B154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D1" w:rsidRDefault="00B154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D1" w:rsidRDefault="00B154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AAB"/>
    <w:multiLevelType w:val="hybridMultilevel"/>
    <w:tmpl w:val="BEE853C8"/>
    <w:lvl w:ilvl="0" w:tplc="94E4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95F"/>
    <w:multiLevelType w:val="hybridMultilevel"/>
    <w:tmpl w:val="DDDAAFB4"/>
    <w:lvl w:ilvl="0" w:tplc="00F4C7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D1E98"/>
    <w:multiLevelType w:val="hybridMultilevel"/>
    <w:tmpl w:val="CFC08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E0073"/>
    <w:multiLevelType w:val="hybridMultilevel"/>
    <w:tmpl w:val="BE5EBDC4"/>
    <w:lvl w:ilvl="0" w:tplc="94E4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C5FDE"/>
    <w:multiLevelType w:val="hybridMultilevel"/>
    <w:tmpl w:val="1EA6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2EC3"/>
    <w:multiLevelType w:val="hybridMultilevel"/>
    <w:tmpl w:val="4CD28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C22D4"/>
    <w:multiLevelType w:val="hybridMultilevel"/>
    <w:tmpl w:val="0BD09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F3970D6-E779-4380-85B8-7F88A76D0210"/>
    <w:docVar w:name="LW_COVERPAGE_TYPE" w:val="1"/>
    <w:docVar w:name="LW_CROSSREFERENCE" w:val="&lt;UNUSED&gt;"/>
    <w:docVar w:name="LW_DocType" w:val="NORMAL"/>
    <w:docVar w:name="LW_EMISSION" w:val="17.5.2018"/>
    <w:docVar w:name="LW_EMISSION_ISODATE" w:val="2018-05-17"/>
    <w:docVar w:name="LW_EMISSION_LOCATION" w:val="BRX"/>
    <w:docVar w:name="LW_EMISSION_PREFIX" w:val="Bruksela, dnia "/>
    <w:docVar w:name="LW_EMISSION_SUFFIX" w:val="r."/>
    <w:docVar w:name="LW_ID_DOCTYPE_NONLW" w:val="CP-014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8) 2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EUROPA W RUCHU_x000b__x000b_Zrównowa\u380?ona mobilno\u347?\u263? dla Europy: bezpieczna, po\u322?\u261?czona i ekologiczna_x000b_"/>
    <w:docVar w:name="LW_TYPE.DOC.CP" w:val="KOMUNIKAT KOMISJI DO PARLAMENTU EUROPEJSKIEGO, RADY, EUROPEJSKIEGO KOMITETU EKONOMICZNO-SPO\u321?ECZNEGO I KOMITETU REGIONÓW"/>
    <w:docVar w:name="LW_TYPE.DOC.CP.USERTEXT" w:val="&lt;EMPTY&gt;"/>
  </w:docVars>
  <w:rsids>
    <w:rsidRoot w:val="00B154D1"/>
    <w:rsid w:val="00B154D1"/>
    <w:rsid w:val="00C6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0099A7-D688-4EFC-B573-C89C352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ny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omylnaczcionkaakapitu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ny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omylnaczcionkaakapitu"/>
    <w:link w:val="HeaderSensitivity"/>
    <w:rPr>
      <w:rFonts w:ascii="Times New Roman" w:hAnsi="Times New Roman" w:cs="Times New Roman"/>
      <w:b/>
      <w:sz w:val="32"/>
    </w:rPr>
  </w:style>
  <w:style w:type="paragraph" w:styleId="Tekstprzypisudolnego">
    <w:name w:val="footnote text"/>
    <w:aliases w:val="ALTS FOOTNOTE,Footnote Text Char3,Footnote Text Char2 Char,Footnote Text Char Char Char1 Char,Footnote Text Char1 Char1 Char,Footnote Text Char Char Char2,footnote text,Schriftart: 9 pt,Schriftart: 10 pt,Schriftart: 8 pt,fn,Car"/>
    <w:basedOn w:val="Normalny"/>
    <w:link w:val="TekstprzypisudolnegoZnak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ALTS FOOTNOTE Znak,Footnote Text Char3 Znak,Footnote Text Char2 Char Znak,Footnote Text Char Char Char1 Char Znak,Footnote Text Char1 Char1 Char Znak,Footnote Text Char Char Char2 Znak,footnote text Znak,Schriftart: 9 pt Znak"/>
    <w:basedOn w:val="Domylnaczcionkaakapitu"/>
    <w:link w:val="Tekstprzypisudolnego"/>
    <w:qFormat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Superscript,BVI fnr,Footnote symbol,Footnote reference number,note TESI,Appel note de bas de p,Nota,SUPERS,Footnote number,EN Footnote Reference,-E Fußnotenzeichen,number Char Char,number,Ref,styl,styli,FR"/>
    <w:link w:val="FootnotesymbolCarZchn"/>
    <w:uiPriority w:val="99"/>
    <w:qFormat/>
    <w:rPr>
      <w:rFonts w:ascii="Times New Roman" w:hAnsi="Times New Roman"/>
      <w:sz w:val="16"/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qFormat/>
    <w:pPr>
      <w:spacing w:after="160" w:line="240" w:lineRule="exact"/>
      <w:jc w:val="both"/>
    </w:pPr>
    <w:rPr>
      <w:rFonts w:ascii="Times New Roman" w:hAnsi="Times New Roman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Pr>
      <w:rFonts w:ascii="Times New Roman" w:hAnsi="Times New Roman" w:cs="Times New Roman"/>
      <w:sz w:val="24"/>
      <w:szCs w:val="24"/>
    </w:rPr>
  </w:style>
  <w:style w:type="paragraph" w:customStyle="1" w:styleId="fr">
    <w:name w:val="fr"/>
    <w:basedOn w:val="Normalny"/>
    <w:uiPriority w:val="99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gal-content/PL/TXT/?qid=1509014203218&amp;uri=CELEX:52016DC05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ba7ab6e2a0e14e39baa77f5b76f59d14/2016-04-08-declaration-of-amsterdam---final1400661.pdf" TargetMode="External"/><Relationship Id="rId13" Type="http://schemas.openxmlformats.org/officeDocument/2006/relationships/hyperlink" Target="https://ec.europa.eu/transport/themes/urban/cleanbus_en" TargetMode="External"/><Relationship Id="rId3" Type="http://schemas.openxmlformats.org/officeDocument/2006/relationships/hyperlink" Target="http://eur-lex.europa.eu/legal-content/PL/AUTO/?uri=CELEX:32014D0585" TargetMode="External"/><Relationship Id="rId7" Type="http://schemas.openxmlformats.org/officeDocument/2006/relationships/hyperlink" Target="http://ec.europa.eu/research/index.cfm?pg=newsalert&amp;year=2017&amp;na=na-030417" TargetMode="External"/><Relationship Id="rId12" Type="http://schemas.openxmlformats.org/officeDocument/2006/relationships/hyperlink" Target="http://www.innoenergy.com/eit-innoenergys-role-within-the-european-battery-alliance/" TargetMode="External"/><Relationship Id="rId2" Type="http://schemas.openxmlformats.org/officeDocument/2006/relationships/hyperlink" Target="http://data.consilium.europa.eu/doc/document/ST-9994-2017-INIT/pl/pdf" TargetMode="External"/><Relationship Id="rId1" Type="http://schemas.openxmlformats.org/officeDocument/2006/relationships/hyperlink" Target="http://data.consilium.europa.eu/doc/document/ST-9994-2017-INIT/pl/pdf" TargetMode="External"/><Relationship Id="rId6" Type="http://schemas.openxmlformats.org/officeDocument/2006/relationships/hyperlink" Target="https://eur-lex.europa.eu/legal-content/PL/TXT/?uri=CELEX:52016DC0588" TargetMode="External"/><Relationship Id="rId11" Type="http://schemas.openxmlformats.org/officeDocument/2006/relationships/hyperlink" Target="https://ec.europa.eu/growth/industry/policy/european-battery-alliance_pl" TargetMode="External"/><Relationship Id="rId5" Type="http://schemas.openxmlformats.org/officeDocument/2006/relationships/hyperlink" Target="https://eur-lex.europa.eu/legal-content/PL/TXT/?uri=CELEX:52016DC0766" TargetMode="External"/><Relationship Id="rId10" Type="http://schemas.openxmlformats.org/officeDocument/2006/relationships/hyperlink" Target="http://www.innoenergy.com/" TargetMode="External"/><Relationship Id="rId4" Type="http://schemas.openxmlformats.org/officeDocument/2006/relationships/hyperlink" Target="https://ec.europa.eu/jrc/en/publication/eur-scientific-and-technical-research-reports/analysis-possible-socio-economic-effects-connected-cooperative-and-automated-mobility-CCAM-Europe" TargetMode="External"/><Relationship Id="rId9" Type="http://schemas.openxmlformats.org/officeDocument/2006/relationships/hyperlink" Target="https://ec.europa.eu/docsroom/documents/26081/attachments/1/translations/en/renditions/n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39F6-7D3C-4CF5-8214-E8CEA7B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6634</Words>
  <Characters>39806</Characters>
  <Application>Microsoft Office Word</Application>
  <DocSecurity>4</DocSecurity>
  <Lines>331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DEUE</dc:creator>
  <cp:lastModifiedBy>DEUE</cp:lastModifiedBy>
  <cp:revision>2</cp:revision>
  <cp:lastPrinted>2018-04-30T11:42:00Z</cp:lastPrinted>
  <dcterms:created xsi:type="dcterms:W3CDTF">2018-06-18T07:00:00Z</dcterms:created>
  <dcterms:modified xsi:type="dcterms:W3CDTF">2018-06-18T07:00:00Z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